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F47A" w14:textId="5F93AA47" w:rsidR="006E1DA8" w:rsidRPr="00C2761C" w:rsidRDefault="006E1DA8" w:rsidP="008121FD">
      <w:pPr>
        <w:spacing w:after="60"/>
        <w:jc w:val="center"/>
        <w:rPr>
          <w:b/>
          <w:bCs/>
          <w:sz w:val="30"/>
          <w:szCs w:val="30"/>
        </w:rPr>
      </w:pPr>
      <w:r w:rsidRPr="00C2761C">
        <w:rPr>
          <w:rFonts w:eastAsia="Arial"/>
          <w:noProof/>
        </w:rPr>
        <w:drawing>
          <wp:anchor distT="0" distB="0" distL="114300" distR="114300" simplePos="0" relativeHeight="251658240" behindDoc="1" locked="0" layoutInCell="1" allowOverlap="1" wp14:anchorId="0B6BF867" wp14:editId="289A8BED">
            <wp:simplePos x="0" y="0"/>
            <wp:positionH relativeFrom="column">
              <wp:posOffset>-83414</wp:posOffset>
            </wp:positionH>
            <wp:positionV relativeFrom="paragraph">
              <wp:posOffset>-263957</wp:posOffset>
            </wp:positionV>
            <wp:extent cx="1799540" cy="716890"/>
            <wp:effectExtent l="0" t="0" r="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818875" cy="724593"/>
                    </a:xfrm>
                    <a:prstGeom prst="rect">
                      <a:avLst/>
                    </a:prstGeom>
                    <a:ln/>
                  </pic:spPr>
                </pic:pic>
              </a:graphicData>
            </a:graphic>
            <wp14:sizeRelH relativeFrom="page">
              <wp14:pctWidth>0</wp14:pctWidth>
            </wp14:sizeRelH>
            <wp14:sizeRelV relativeFrom="page">
              <wp14:pctHeight>0</wp14:pctHeight>
            </wp14:sizeRelV>
          </wp:anchor>
        </w:drawing>
      </w:r>
    </w:p>
    <w:p w14:paraId="3F1C526C" w14:textId="2D02CD88" w:rsidR="007B7CEC" w:rsidRPr="00C2761C" w:rsidRDefault="00EA322A" w:rsidP="008121FD">
      <w:pPr>
        <w:spacing w:after="60"/>
        <w:jc w:val="center"/>
      </w:pPr>
      <w:r w:rsidRPr="00C2761C">
        <w:rPr>
          <w:b/>
          <w:bCs/>
          <w:sz w:val="30"/>
          <w:szCs w:val="30"/>
        </w:rPr>
        <w:t>PRIPOMIENKY</w:t>
      </w:r>
    </w:p>
    <w:p w14:paraId="7AA38A57" w14:textId="77777777" w:rsidR="006E1DA8" w:rsidRPr="00C2761C" w:rsidRDefault="00EA322A" w:rsidP="006E1DA8">
      <w:pPr>
        <w:spacing w:after="60"/>
        <w:jc w:val="center"/>
        <w:rPr>
          <w:i/>
          <w:iCs/>
          <w:sz w:val="21"/>
          <w:szCs w:val="21"/>
        </w:rPr>
      </w:pPr>
      <w:r w:rsidRPr="00C2761C">
        <w:rPr>
          <w:i/>
          <w:iCs/>
          <w:sz w:val="21"/>
          <w:szCs w:val="21"/>
        </w:rPr>
        <w:t xml:space="preserve">k návrhu zákona o integrovanom systéme ochrany pred </w:t>
      </w:r>
      <w:proofErr w:type="spellStart"/>
      <w:r w:rsidRPr="00C2761C">
        <w:rPr>
          <w:i/>
          <w:iCs/>
          <w:sz w:val="21"/>
          <w:szCs w:val="21"/>
        </w:rPr>
        <w:t>radikalizáciou</w:t>
      </w:r>
      <w:proofErr w:type="spellEnd"/>
      <w:r w:rsidRPr="00C2761C">
        <w:rPr>
          <w:i/>
          <w:iCs/>
          <w:sz w:val="21"/>
          <w:szCs w:val="21"/>
        </w:rPr>
        <w:t xml:space="preserve"> </w:t>
      </w:r>
    </w:p>
    <w:p w14:paraId="3F1C526D" w14:textId="54848307" w:rsidR="007B7CEC" w:rsidRPr="00C2761C" w:rsidRDefault="00EA322A" w:rsidP="006E1DA8">
      <w:pPr>
        <w:spacing w:after="60"/>
        <w:jc w:val="center"/>
        <w:rPr>
          <w:i/>
          <w:iCs/>
          <w:sz w:val="21"/>
          <w:szCs w:val="21"/>
        </w:rPr>
      </w:pPr>
      <w:r w:rsidRPr="00C2761C">
        <w:rPr>
          <w:i/>
          <w:iCs/>
          <w:sz w:val="21"/>
          <w:szCs w:val="21"/>
        </w:rPr>
        <w:t>a mobilizáciou k násiliu a o zmene a doplnení niektorých zákonov</w:t>
      </w:r>
    </w:p>
    <w:p w14:paraId="7014F1A3" w14:textId="77777777" w:rsidR="006E1DA8" w:rsidRPr="00C2761C" w:rsidRDefault="006E1DA8" w:rsidP="006E1DA8">
      <w:pPr>
        <w:spacing w:after="60"/>
      </w:pPr>
    </w:p>
    <w:p w14:paraId="48AC8A5D" w14:textId="77777777" w:rsidR="006E1DA8" w:rsidRPr="00C2761C" w:rsidRDefault="006E1DA8" w:rsidP="006E1DA8">
      <w:pPr>
        <w:spacing w:after="60"/>
      </w:pPr>
    </w:p>
    <w:tbl>
      <w:tblPr>
        <w:tblW w:w="1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2000"/>
        <w:gridCol w:w="13000"/>
      </w:tblGrid>
      <w:tr w:rsidR="007B7CEC" w:rsidRPr="00C2761C" w14:paraId="3F1C5272" w14:textId="77777777">
        <w:trPr>
          <w:tblHeader/>
        </w:trPr>
        <w:tc>
          <w:tcPr>
            <w:tcW w:w="500" w:type="dxa"/>
            <w:shd w:val="clear" w:color="auto" w:fill="1F3864"/>
          </w:tcPr>
          <w:p w14:paraId="3F1C526F" w14:textId="77777777" w:rsidR="007B7CEC" w:rsidRPr="00C2761C" w:rsidRDefault="00EA322A">
            <w:r w:rsidRPr="00C2761C">
              <w:rPr>
                <w:b/>
                <w:bCs/>
                <w:color w:val="FFFFFF"/>
              </w:rPr>
              <w:t>Č.</w:t>
            </w:r>
          </w:p>
        </w:tc>
        <w:tc>
          <w:tcPr>
            <w:tcW w:w="2000" w:type="dxa"/>
            <w:shd w:val="clear" w:color="auto" w:fill="1F3864"/>
          </w:tcPr>
          <w:p w14:paraId="3F1C5270" w14:textId="77777777" w:rsidR="007B7CEC" w:rsidRPr="00C2761C" w:rsidRDefault="00EA322A">
            <w:r w:rsidRPr="00C2761C">
              <w:rPr>
                <w:b/>
                <w:bCs/>
                <w:color w:val="FFFFFF"/>
              </w:rPr>
              <w:t>Dotknuté ustanovenie</w:t>
            </w:r>
          </w:p>
        </w:tc>
        <w:tc>
          <w:tcPr>
            <w:tcW w:w="13000" w:type="dxa"/>
            <w:shd w:val="clear" w:color="auto" w:fill="1F3864"/>
          </w:tcPr>
          <w:p w14:paraId="3F1C5271" w14:textId="77777777" w:rsidR="007B7CEC" w:rsidRPr="00C2761C" w:rsidRDefault="00EA322A">
            <w:r w:rsidRPr="00C2761C">
              <w:rPr>
                <w:b/>
                <w:bCs/>
                <w:color w:val="FFFFFF"/>
              </w:rPr>
              <w:t>Znenie pripomienky (návrh zmeny a odôvodnenie)</w:t>
            </w:r>
          </w:p>
        </w:tc>
      </w:tr>
      <w:tr w:rsidR="00691FDD" w:rsidRPr="00C2761C" w14:paraId="3F1C527C" w14:textId="77777777">
        <w:tc>
          <w:tcPr>
            <w:tcW w:w="500" w:type="dxa"/>
            <w:tcMar>
              <w:top w:w="80" w:type="dxa"/>
              <w:left w:w="80" w:type="dxa"/>
              <w:bottom w:w="80" w:type="dxa"/>
              <w:right w:w="80" w:type="dxa"/>
            </w:tcMar>
          </w:tcPr>
          <w:p w14:paraId="3F1C5273" w14:textId="77777777" w:rsidR="00691FDD" w:rsidRPr="00C2761C" w:rsidRDefault="00691FDD" w:rsidP="00691FDD">
            <w:pPr>
              <w:spacing w:after="100"/>
            </w:pPr>
            <w:r w:rsidRPr="00C2761C">
              <w:rPr>
                <w:b/>
                <w:bCs/>
              </w:rPr>
              <w:t>1</w:t>
            </w:r>
          </w:p>
        </w:tc>
        <w:tc>
          <w:tcPr>
            <w:tcW w:w="2000" w:type="dxa"/>
            <w:tcMar>
              <w:top w:w="80" w:type="dxa"/>
              <w:left w:w="80" w:type="dxa"/>
              <w:bottom w:w="80" w:type="dxa"/>
              <w:right w:w="80" w:type="dxa"/>
            </w:tcMar>
          </w:tcPr>
          <w:p w14:paraId="3F1C5274" w14:textId="3C24DC99" w:rsidR="00691FDD" w:rsidRPr="00C2761C" w:rsidRDefault="00691FDD" w:rsidP="00691FDD">
            <w:pPr>
              <w:spacing w:after="100"/>
            </w:pPr>
            <w:r w:rsidRPr="00C2761C">
              <w:rPr>
                <w:b/>
                <w:bCs/>
                <w:sz w:val="19"/>
                <w:szCs w:val="19"/>
              </w:rPr>
              <w:t>§ 3 písm. f) (definícia intervenčného opatrenia)</w:t>
            </w:r>
          </w:p>
        </w:tc>
        <w:tc>
          <w:tcPr>
            <w:tcW w:w="13000" w:type="dxa"/>
            <w:tcMar>
              <w:top w:w="80" w:type="dxa"/>
              <w:left w:w="80" w:type="dxa"/>
              <w:bottom w:w="80" w:type="dxa"/>
              <w:right w:w="80" w:type="dxa"/>
            </w:tcMar>
          </w:tcPr>
          <w:p w14:paraId="6D2FA5B5" w14:textId="77777777" w:rsidR="00691FDD" w:rsidRPr="00C2761C" w:rsidRDefault="00691FDD" w:rsidP="00691FDD">
            <w:pPr>
              <w:spacing w:after="100"/>
            </w:pPr>
            <w:r w:rsidRPr="00C2761C">
              <w:rPr>
                <w:b/>
                <w:bCs/>
                <w:caps/>
                <w:color w:val="B00000"/>
                <w:sz w:val="19"/>
                <w:szCs w:val="19"/>
              </w:rPr>
              <w:t>ZÁSADNÁ</w:t>
            </w:r>
          </w:p>
          <w:p w14:paraId="57F4FF92" w14:textId="77777777" w:rsidR="00691FDD" w:rsidRPr="00C2761C" w:rsidRDefault="00691FDD" w:rsidP="00691FDD">
            <w:pPr>
              <w:spacing w:after="60"/>
            </w:pPr>
            <w:r w:rsidRPr="00C2761C">
              <w:rPr>
                <w:b/>
                <w:bCs/>
                <w:sz w:val="19"/>
                <w:szCs w:val="19"/>
              </w:rPr>
              <w:t>Návrh zmeny:</w:t>
            </w:r>
          </w:p>
          <w:p w14:paraId="6CFD76C0" w14:textId="77777777" w:rsidR="00691FDD" w:rsidRPr="00C2761C" w:rsidRDefault="00691FDD" w:rsidP="00691FDD">
            <w:pPr>
              <w:spacing w:after="100"/>
            </w:pPr>
            <w:r w:rsidRPr="00C2761C">
              <w:rPr>
                <w:sz w:val="19"/>
                <w:szCs w:val="19"/>
              </w:rPr>
              <w:t xml:space="preserve">Slová „ktoré vedú k odstraňovaniu rizika alebo prejavov </w:t>
            </w:r>
            <w:proofErr w:type="spellStart"/>
            <w:r w:rsidRPr="00C2761C">
              <w:rPr>
                <w:sz w:val="19"/>
                <w:szCs w:val="19"/>
              </w:rPr>
              <w:t>radikalizácie</w:t>
            </w:r>
            <w:proofErr w:type="spellEnd"/>
            <w:r w:rsidRPr="00C2761C">
              <w:rPr>
                <w:sz w:val="19"/>
                <w:szCs w:val="19"/>
              </w:rPr>
              <w:t xml:space="preserve"> alebo mobilizácie k násiliu“ nahradiť slovami „ktoré vedú k zmierňovaniu, prípadne odstraňovaniu, rizika alebo prejavov </w:t>
            </w:r>
            <w:proofErr w:type="spellStart"/>
            <w:r w:rsidRPr="00C2761C">
              <w:rPr>
                <w:sz w:val="19"/>
                <w:szCs w:val="19"/>
              </w:rPr>
              <w:t>radikalizácie</w:t>
            </w:r>
            <w:proofErr w:type="spellEnd"/>
            <w:r w:rsidRPr="00C2761C">
              <w:rPr>
                <w:sz w:val="19"/>
                <w:szCs w:val="19"/>
              </w:rPr>
              <w:t xml:space="preserve"> alebo mobilizácie k násiliu“.</w:t>
            </w:r>
          </w:p>
          <w:p w14:paraId="52C1A779" w14:textId="77777777" w:rsidR="00691FDD" w:rsidRPr="00C2761C" w:rsidRDefault="00691FDD" w:rsidP="00691FDD">
            <w:pPr>
              <w:spacing w:after="60"/>
            </w:pPr>
            <w:r w:rsidRPr="00C2761C">
              <w:rPr>
                <w:b/>
                <w:bCs/>
                <w:sz w:val="19"/>
                <w:szCs w:val="19"/>
              </w:rPr>
              <w:t>Odôvodnenie:</w:t>
            </w:r>
          </w:p>
          <w:p w14:paraId="3F1C527B" w14:textId="6A42B362" w:rsidR="00691FDD" w:rsidRPr="00C2761C" w:rsidRDefault="00691FDD" w:rsidP="00691FDD">
            <w:pPr>
              <w:spacing w:after="100"/>
            </w:pPr>
            <w:r w:rsidRPr="00C2761C">
              <w:rPr>
                <w:sz w:val="19"/>
                <w:szCs w:val="19"/>
              </w:rPr>
              <w:t xml:space="preserve">Odborná a psychoterapeutická prax spravidla nedokáže riziko </w:t>
            </w:r>
            <w:proofErr w:type="spellStart"/>
            <w:r w:rsidRPr="00C2761C">
              <w:rPr>
                <w:sz w:val="19"/>
                <w:szCs w:val="19"/>
              </w:rPr>
              <w:t>radikalizácie</w:t>
            </w:r>
            <w:proofErr w:type="spellEnd"/>
            <w:r w:rsidRPr="00C2761C">
              <w:rPr>
                <w:sz w:val="19"/>
                <w:szCs w:val="19"/>
              </w:rPr>
              <w:t xml:space="preserve"> alebo mobilizácie k násiliu „odstrániť“ v doslovnom zmysle – reálnym a odborne poctivým cieľom intervencie je jeho zmiernenie; k úplnému odstráneniu dochádza len v menšej časti prípadov. Zákon by nemal stavať na nereálnom štandarde, ktorý by zakladal neplnenie zákonnej definície pri každej intervencii, ktorá riziko znížila, no neodstránila ho úplne (relevantné aj pre hodnotenie účinnosti opatrení podľa § 7, § 8 ods. 5 a § 9 ods. 2 písm. d)).</w:t>
            </w:r>
          </w:p>
        </w:tc>
      </w:tr>
      <w:tr w:rsidR="00691FDD" w:rsidRPr="00C2761C" w14:paraId="3F1C5284" w14:textId="77777777">
        <w:tc>
          <w:tcPr>
            <w:tcW w:w="500" w:type="dxa"/>
            <w:tcMar>
              <w:top w:w="80" w:type="dxa"/>
              <w:left w:w="80" w:type="dxa"/>
              <w:bottom w:w="80" w:type="dxa"/>
              <w:right w:w="80" w:type="dxa"/>
            </w:tcMar>
          </w:tcPr>
          <w:p w14:paraId="3F1C527D" w14:textId="77777777" w:rsidR="00691FDD" w:rsidRPr="00C2761C" w:rsidRDefault="00691FDD" w:rsidP="00691FDD">
            <w:pPr>
              <w:spacing w:after="100"/>
            </w:pPr>
            <w:r w:rsidRPr="00C2761C">
              <w:rPr>
                <w:b/>
                <w:bCs/>
              </w:rPr>
              <w:t>2</w:t>
            </w:r>
          </w:p>
        </w:tc>
        <w:tc>
          <w:tcPr>
            <w:tcW w:w="2000" w:type="dxa"/>
            <w:tcMar>
              <w:top w:w="80" w:type="dxa"/>
              <w:left w:w="80" w:type="dxa"/>
              <w:bottom w:w="80" w:type="dxa"/>
              <w:right w:w="80" w:type="dxa"/>
            </w:tcMar>
          </w:tcPr>
          <w:p w14:paraId="3F1C527E" w14:textId="1BE89C0F" w:rsidR="00691FDD" w:rsidRPr="00C2761C" w:rsidRDefault="00691FDD" w:rsidP="00691FDD">
            <w:pPr>
              <w:spacing w:after="100"/>
            </w:pPr>
            <w:r w:rsidRPr="00C2761C">
              <w:rPr>
                <w:b/>
                <w:bCs/>
                <w:sz w:val="19"/>
                <w:szCs w:val="19"/>
              </w:rPr>
              <w:t>§ 4 (princípy integrovaného systému)</w:t>
            </w:r>
          </w:p>
        </w:tc>
        <w:tc>
          <w:tcPr>
            <w:tcW w:w="13000" w:type="dxa"/>
            <w:tcMar>
              <w:top w:w="80" w:type="dxa"/>
              <w:left w:w="80" w:type="dxa"/>
              <w:bottom w:w="80" w:type="dxa"/>
              <w:right w:w="80" w:type="dxa"/>
            </w:tcMar>
          </w:tcPr>
          <w:p w14:paraId="45B79CAD" w14:textId="77777777" w:rsidR="00691FDD" w:rsidRPr="00C2761C" w:rsidRDefault="00691FDD" w:rsidP="00691FDD">
            <w:pPr>
              <w:spacing w:after="100"/>
            </w:pPr>
            <w:r w:rsidRPr="00C2761C">
              <w:rPr>
                <w:b/>
                <w:bCs/>
                <w:caps/>
                <w:color w:val="B00000"/>
                <w:sz w:val="19"/>
                <w:szCs w:val="19"/>
              </w:rPr>
              <w:t>ZÁSADNÁ</w:t>
            </w:r>
          </w:p>
          <w:p w14:paraId="30027FA7" w14:textId="77777777" w:rsidR="00691FDD" w:rsidRPr="00C2761C" w:rsidRDefault="00691FDD" w:rsidP="00691FDD">
            <w:pPr>
              <w:spacing w:after="60"/>
            </w:pPr>
            <w:r w:rsidRPr="00C2761C">
              <w:rPr>
                <w:b/>
                <w:bCs/>
                <w:sz w:val="19"/>
                <w:szCs w:val="19"/>
              </w:rPr>
              <w:t>Návrh zmeny:</w:t>
            </w:r>
          </w:p>
          <w:p w14:paraId="6AE7E53C" w14:textId="77777777" w:rsidR="00691FDD" w:rsidRPr="00C2761C" w:rsidRDefault="00691FDD" w:rsidP="00691FDD">
            <w:pPr>
              <w:spacing w:after="100"/>
              <w:rPr>
                <w:sz w:val="19"/>
                <w:szCs w:val="19"/>
              </w:rPr>
            </w:pPr>
            <w:r w:rsidRPr="00C2761C">
              <w:rPr>
                <w:sz w:val="19"/>
                <w:szCs w:val="19"/>
              </w:rPr>
              <w:t xml:space="preserve">Doplniť nové princípy: </w:t>
            </w:r>
          </w:p>
          <w:p w14:paraId="5D521825" w14:textId="77777777" w:rsidR="00691FDD" w:rsidRPr="00C2761C" w:rsidRDefault="00691FDD" w:rsidP="00691FDD">
            <w:pPr>
              <w:pStyle w:val="Odsekzoznamu"/>
              <w:numPr>
                <w:ilvl w:val="0"/>
                <w:numId w:val="3"/>
              </w:numPr>
              <w:spacing w:after="100"/>
              <w:rPr>
                <w:sz w:val="19"/>
                <w:szCs w:val="19"/>
              </w:rPr>
            </w:pPr>
            <w:r w:rsidRPr="00C2761C">
              <w:rPr>
                <w:sz w:val="19"/>
                <w:szCs w:val="19"/>
              </w:rPr>
              <w:t>„uplatňovania odborných štandardov podľa osobitného predpisu (§ 131 a § 133 zákona č. 245/2008 Z. z.), ak ide o dieťa alebo žiaka podľa osobitného predpisu“.</w:t>
            </w:r>
          </w:p>
          <w:p w14:paraId="31752C44" w14:textId="77777777" w:rsidR="00691FDD" w:rsidRPr="00C2761C" w:rsidRDefault="00691FDD" w:rsidP="00691FDD">
            <w:pPr>
              <w:pStyle w:val="Odsekzoznamu"/>
              <w:numPr>
                <w:ilvl w:val="0"/>
                <w:numId w:val="3"/>
              </w:numPr>
              <w:spacing w:after="100"/>
              <w:rPr>
                <w:sz w:val="19"/>
                <w:szCs w:val="19"/>
              </w:rPr>
            </w:pPr>
            <w:r w:rsidRPr="00C2761C">
              <w:t xml:space="preserve">primeranosti (proporcionality) zásahu miere a závažnosti zisteného rizika, s prednosťou najmenej invazívneho preventívneho alebo intervenčného opatrenia, </w:t>
            </w:r>
          </w:p>
          <w:p w14:paraId="77300AF6" w14:textId="77777777" w:rsidR="00691FDD" w:rsidRPr="00C2761C" w:rsidRDefault="00691FDD" w:rsidP="00691FDD">
            <w:pPr>
              <w:pStyle w:val="Odsekzoznamu"/>
              <w:numPr>
                <w:ilvl w:val="0"/>
                <w:numId w:val="3"/>
              </w:numPr>
              <w:spacing w:after="100"/>
              <w:rPr>
                <w:sz w:val="19"/>
                <w:szCs w:val="19"/>
              </w:rPr>
            </w:pPr>
            <w:r w:rsidRPr="00C2761C">
              <w:t xml:space="preserve">subsidiarity a prednosti pôsobenia v prirodzenom rodinnom, školskom a sociálnom prostredí dieťaťa alebo mládežníka pred opatreniami, ktoré toto prostredie narúšajú, </w:t>
            </w:r>
          </w:p>
          <w:p w14:paraId="09216C8B" w14:textId="77777777" w:rsidR="00691FDD" w:rsidRPr="00C2761C" w:rsidRDefault="00691FDD" w:rsidP="00691FDD">
            <w:pPr>
              <w:pStyle w:val="Odsekzoznamu"/>
              <w:numPr>
                <w:ilvl w:val="0"/>
                <w:numId w:val="3"/>
              </w:numPr>
              <w:spacing w:after="100"/>
              <w:rPr>
                <w:sz w:val="19"/>
                <w:szCs w:val="19"/>
              </w:rPr>
            </w:pPr>
            <w:r w:rsidRPr="00C2761C">
              <w:t xml:space="preserve">vedeckej </w:t>
            </w:r>
            <w:proofErr w:type="spellStart"/>
            <w:r w:rsidRPr="00C2761C">
              <w:t>podloženosti</w:t>
            </w:r>
            <w:proofErr w:type="spellEnd"/>
            <w:r w:rsidRPr="00C2761C">
              <w:t xml:space="preserve"> preventívnych opatrení a intervenčných opatrení, ktoré musia vychádzať zo súčasných vedeckých poznatkov a odborne overených postupov,</w:t>
            </w:r>
          </w:p>
          <w:p w14:paraId="624DB6A2" w14:textId="77777777" w:rsidR="00691FDD" w:rsidRPr="00C2761C" w:rsidRDefault="00691FDD" w:rsidP="00691FDD">
            <w:pPr>
              <w:spacing w:after="100"/>
            </w:pPr>
            <w:r w:rsidRPr="00C2761C">
              <w:rPr>
                <w:sz w:val="19"/>
                <w:szCs w:val="19"/>
              </w:rPr>
              <w:t>V poslednej odrážke nahradiť slová „komplexného a multidisciplinárneho prístupu subjektov integrovaného systému k dieťaťu alebo k mládežníkovi“ slovami „komplexnej a multidisciplinárnej spolupráce subjektov integrovaného systému pri podpore dieťaťa alebo mládežníka a jeho prostredia“.</w:t>
            </w:r>
          </w:p>
          <w:p w14:paraId="5A645026" w14:textId="77777777" w:rsidR="00691FDD" w:rsidRPr="00C2761C" w:rsidRDefault="00691FDD" w:rsidP="00691FDD">
            <w:pPr>
              <w:spacing w:after="60"/>
              <w:rPr>
                <w:b/>
                <w:bCs/>
                <w:sz w:val="19"/>
                <w:szCs w:val="19"/>
              </w:rPr>
            </w:pPr>
            <w:r w:rsidRPr="00C2761C">
              <w:rPr>
                <w:b/>
                <w:bCs/>
                <w:sz w:val="19"/>
                <w:szCs w:val="19"/>
              </w:rPr>
              <w:t>Odôvodnenie:</w:t>
            </w:r>
          </w:p>
          <w:p w14:paraId="55639FD7" w14:textId="77777777" w:rsidR="00691FDD" w:rsidRPr="00C2761C" w:rsidRDefault="00691FDD" w:rsidP="00691FDD">
            <w:pPr>
              <w:spacing w:after="60"/>
            </w:pPr>
            <w:r w:rsidRPr="00C2761C">
              <w:t xml:space="preserve">Navrhované doplnenie princípov integrovaného systému reaguje na skutočnosť, že zákon zasahuje do súkromia detí a mládežníkov, zakladá zdieľanie citlivých osobných údajov medzi viacerými subjektmi a umožňuje prijímanie opatrení bez ich priameho zapojenia. Doterajšie znenie § 4 vymedzuje len rešpektovanie základných práv a slobôd, najlepší záujem dieťaťa, preventívny charakter systému a </w:t>
            </w:r>
            <w:proofErr w:type="spellStart"/>
            <w:r w:rsidRPr="00C2761C">
              <w:t>multidisciplinaritu</w:t>
            </w:r>
            <w:proofErr w:type="spellEnd"/>
            <w:r w:rsidRPr="00C2761C">
              <w:t xml:space="preserve">; chýbajú mu však viaceré štandardy, ktoré sú v porovnateľných zahraničných úpravách (napr. </w:t>
            </w:r>
            <w:proofErr w:type="spellStart"/>
            <w:r w:rsidRPr="00C2761C">
              <w:t>RAN</w:t>
            </w:r>
            <w:proofErr w:type="spellEnd"/>
            <w:r w:rsidRPr="00C2761C">
              <w:t xml:space="preserve"> aj UK </w:t>
            </w:r>
            <w:proofErr w:type="spellStart"/>
            <w:r w:rsidRPr="00C2761C">
              <w:t>Prevent</w:t>
            </w:r>
            <w:proofErr w:type="spellEnd"/>
            <w:r w:rsidRPr="00C2761C">
              <w:t xml:space="preserve"> to má explicitne) a v medzinárodnej odbornej praxi považované za nevyhnutnú súčasť systémov pracujúcich s rizikom </w:t>
            </w:r>
            <w:proofErr w:type="spellStart"/>
            <w:r w:rsidRPr="00C2761C">
              <w:t>radikalizácie</w:t>
            </w:r>
            <w:proofErr w:type="spellEnd"/>
            <w:r w:rsidRPr="00C2761C">
              <w:t xml:space="preserve"> u detí.</w:t>
            </w:r>
          </w:p>
          <w:p w14:paraId="69F7D35E" w14:textId="77777777" w:rsidR="00691FDD" w:rsidRPr="00C2761C" w:rsidRDefault="00691FDD" w:rsidP="00691FDD">
            <w:pPr>
              <w:spacing w:after="60"/>
            </w:pPr>
            <w:r w:rsidRPr="00C2761C">
              <w:t xml:space="preserve">Princíp </w:t>
            </w:r>
            <w:r w:rsidRPr="00C2761C">
              <w:rPr>
                <w:i/>
                <w:iCs/>
              </w:rPr>
              <w:t>primeranosti</w:t>
            </w:r>
            <w:r w:rsidRPr="00C2761C">
              <w:t xml:space="preserve"> zabezpečuje, že miera zásahu bude vždy zodpovedať závažnosti zisteného rizika, a že prednosť budú mať menej invazívne opatrenia pred zásahmi do rodinného alebo školského prostredia dieťaťa.</w:t>
            </w:r>
          </w:p>
          <w:p w14:paraId="6374BC4D" w14:textId="77777777" w:rsidR="00691FDD" w:rsidRPr="00C2761C" w:rsidRDefault="00691FDD" w:rsidP="00691FDD">
            <w:pPr>
              <w:spacing w:after="60"/>
            </w:pPr>
            <w:r w:rsidRPr="00C2761C">
              <w:lastRenderedPageBreak/>
              <w:t xml:space="preserve">Princíp </w:t>
            </w:r>
            <w:r w:rsidRPr="00C2761C">
              <w:rPr>
                <w:i/>
                <w:iCs/>
              </w:rPr>
              <w:t>subsidiarity</w:t>
            </w:r>
            <w:r w:rsidRPr="00C2761C">
              <w:t xml:space="preserve"> zosúlaďuje zákon so základným princípom zákona č. 305/2005 Z. z. (§ 1 ods. 2 písm. b)), podľa ktorého má mať prednosť výchova dieťaťa v jeho prirodzenom rodinnom prostredí, rovnako aj opatrenie v školskom prostredí, v triede, so školským psychológom musí mať prednosť pred opatreniami externými a vzdialenými od tohto.</w:t>
            </w:r>
          </w:p>
          <w:p w14:paraId="1068B92E" w14:textId="77777777" w:rsidR="00691FDD" w:rsidRPr="00C2761C" w:rsidRDefault="00691FDD" w:rsidP="00691FDD">
            <w:pPr>
              <w:spacing w:after="60"/>
            </w:pPr>
            <w:r w:rsidRPr="00C2761C">
              <w:t xml:space="preserve">Princíp </w:t>
            </w:r>
            <w:r w:rsidRPr="00C2761C">
              <w:rPr>
                <w:i/>
                <w:iCs/>
              </w:rPr>
              <w:t xml:space="preserve">vedeckej </w:t>
            </w:r>
            <w:proofErr w:type="spellStart"/>
            <w:r w:rsidRPr="00C2761C">
              <w:rPr>
                <w:i/>
                <w:iCs/>
              </w:rPr>
              <w:t>podloženosti</w:t>
            </w:r>
            <w:proofErr w:type="spellEnd"/>
            <w:r w:rsidRPr="00C2761C">
              <w:t xml:space="preserve"> povyšuje požiadavku, ktorá je dnes obsiahnutá len vo vykonávacej vyhláške vo vzťahu k akreditovaným programom, na všeobecnú zásadu celého systému vrátane posudzovania rizika a nastavovania opatrení.</w:t>
            </w:r>
          </w:p>
          <w:p w14:paraId="1C94E012" w14:textId="77777777" w:rsidR="00691FDD" w:rsidRPr="00C2761C" w:rsidRDefault="00691FDD" w:rsidP="00691FDD">
            <w:pPr>
              <w:spacing w:after="100"/>
            </w:pPr>
            <w:r w:rsidRPr="00C2761C">
              <w:rPr>
                <w:sz w:val="19"/>
                <w:szCs w:val="19"/>
              </w:rPr>
              <w:t xml:space="preserve">Odkaz na existujúce výkonové a obsahové štandardy odborných činností zabezpečí, že integrovaný systém nebude pri deťoch a žiakoch vytvárať paralelnú, štandardmi nepodloženú prax. Ak existujú aj iné oficiálne štandardy v tejto oblasti – mali by aj tie byť súčasťou princípov, keďže ako povedal aj p. minister, nevytvárame nič nové, iba integrujeme čo najviac existujúce princípy a systém a ideme ho len lepšie koordinovať. </w:t>
            </w:r>
          </w:p>
          <w:p w14:paraId="3F1C5283" w14:textId="1664DB86" w:rsidR="00691FDD" w:rsidRPr="00C2761C" w:rsidRDefault="00691FDD" w:rsidP="00691FDD">
            <w:pPr>
              <w:spacing w:after="100"/>
            </w:pPr>
            <w:r w:rsidRPr="00C2761C">
              <w:rPr>
                <w:sz w:val="19"/>
                <w:szCs w:val="19"/>
              </w:rPr>
              <w:t>Pojem „prístup k dieťaťu“ evokuje jednostranné pôsobenie na dieťa, kým reálna prax spočíva v spolupráci a pôsobení aj na prostredie dieťaťa (rodinu, školu, rovesnícku skupinu). Navrhovaná formulácia je konzistentná s ochranným, nie represívnym charakterom systému.</w:t>
            </w:r>
          </w:p>
        </w:tc>
      </w:tr>
      <w:tr w:rsidR="00691FDD" w:rsidRPr="00C2761C" w14:paraId="3F1C528E" w14:textId="77777777">
        <w:tc>
          <w:tcPr>
            <w:tcW w:w="500" w:type="dxa"/>
            <w:tcMar>
              <w:top w:w="80" w:type="dxa"/>
              <w:left w:w="80" w:type="dxa"/>
              <w:bottom w:w="80" w:type="dxa"/>
              <w:right w:w="80" w:type="dxa"/>
            </w:tcMar>
          </w:tcPr>
          <w:p w14:paraId="3F1C5285" w14:textId="77777777" w:rsidR="00691FDD" w:rsidRPr="00C2761C" w:rsidRDefault="00691FDD" w:rsidP="00691FDD">
            <w:pPr>
              <w:spacing w:after="100"/>
            </w:pPr>
            <w:r w:rsidRPr="00C2761C">
              <w:rPr>
                <w:b/>
                <w:bCs/>
              </w:rPr>
              <w:lastRenderedPageBreak/>
              <w:t>3</w:t>
            </w:r>
          </w:p>
        </w:tc>
        <w:tc>
          <w:tcPr>
            <w:tcW w:w="2000" w:type="dxa"/>
            <w:tcMar>
              <w:top w:w="80" w:type="dxa"/>
              <w:left w:w="80" w:type="dxa"/>
              <w:bottom w:w="80" w:type="dxa"/>
              <w:right w:w="80" w:type="dxa"/>
            </w:tcMar>
          </w:tcPr>
          <w:p w14:paraId="3F1C5286" w14:textId="36465402" w:rsidR="00691FDD" w:rsidRPr="00C2761C" w:rsidRDefault="00691FDD" w:rsidP="00691FDD">
            <w:pPr>
              <w:spacing w:after="100"/>
            </w:pPr>
            <w:r w:rsidRPr="00C2761C">
              <w:rPr>
                <w:b/>
                <w:bCs/>
                <w:sz w:val="19"/>
                <w:szCs w:val="19"/>
              </w:rPr>
              <w:t>§ 6 ods. 3 a ods. 4 (národný koordinátor)</w:t>
            </w:r>
          </w:p>
        </w:tc>
        <w:tc>
          <w:tcPr>
            <w:tcW w:w="13000" w:type="dxa"/>
            <w:tcMar>
              <w:top w:w="80" w:type="dxa"/>
              <w:left w:w="80" w:type="dxa"/>
              <w:bottom w:w="80" w:type="dxa"/>
              <w:right w:w="80" w:type="dxa"/>
            </w:tcMar>
          </w:tcPr>
          <w:p w14:paraId="4311B0A3" w14:textId="77777777" w:rsidR="00691FDD" w:rsidRPr="00C2761C" w:rsidRDefault="00691FDD" w:rsidP="00691FDD">
            <w:pPr>
              <w:spacing w:after="100"/>
            </w:pPr>
            <w:r w:rsidRPr="00C2761C">
              <w:rPr>
                <w:b/>
                <w:bCs/>
                <w:caps/>
                <w:color w:val="B00000"/>
                <w:sz w:val="19"/>
                <w:szCs w:val="19"/>
              </w:rPr>
              <w:t>ZÁSADNÁ</w:t>
            </w:r>
          </w:p>
          <w:p w14:paraId="18B223E0" w14:textId="77777777" w:rsidR="00691FDD" w:rsidRPr="00C2761C" w:rsidRDefault="00691FDD" w:rsidP="00691FDD">
            <w:pPr>
              <w:spacing w:after="60"/>
            </w:pPr>
            <w:r w:rsidRPr="00C2761C">
              <w:rPr>
                <w:b/>
                <w:bCs/>
                <w:sz w:val="19"/>
                <w:szCs w:val="19"/>
              </w:rPr>
              <w:t>Návrh zmeny:</w:t>
            </w:r>
          </w:p>
          <w:p w14:paraId="051706DE" w14:textId="77777777" w:rsidR="00691FDD" w:rsidRPr="00C2761C" w:rsidRDefault="00691FDD" w:rsidP="00691FDD">
            <w:pPr>
              <w:spacing w:after="100"/>
            </w:pPr>
            <w:r w:rsidRPr="00C2761C">
              <w:rPr>
                <w:sz w:val="19"/>
                <w:szCs w:val="19"/>
              </w:rPr>
              <w:t>V ods. 3 doplniť medzi predpoklady na vymenovanie za národného koordinátora: „nie je členom politickej strany alebo politického hnutia a nevykonáva funkciu poslanca Národnej rady Slovenskej republiky ani poslanca zastupiteľstva samosprávneho kraja, obce alebo mesta“.</w:t>
            </w:r>
          </w:p>
          <w:p w14:paraId="5F6F38DB" w14:textId="77777777" w:rsidR="00691FDD" w:rsidRPr="00C2761C" w:rsidRDefault="00691FDD" w:rsidP="00691FDD">
            <w:pPr>
              <w:spacing w:after="100"/>
            </w:pPr>
            <w:r w:rsidRPr="00C2761C">
              <w:rPr>
                <w:sz w:val="19"/>
                <w:szCs w:val="19"/>
              </w:rPr>
              <w:t xml:space="preserve">Minimálne v osobitnej časti dôvodovej správy vymedziť obsah odbornej spôsobilosti, ktorú má oznámenie o vyhlásení výberového konania záväzne obsahovať – najmä viacročnú odbornú prax v prevencii </w:t>
            </w:r>
            <w:proofErr w:type="spellStart"/>
            <w:r w:rsidRPr="00C2761C">
              <w:rPr>
                <w:sz w:val="19"/>
                <w:szCs w:val="19"/>
              </w:rPr>
              <w:t>radikalizácie</w:t>
            </w:r>
            <w:proofErr w:type="spellEnd"/>
            <w:r w:rsidRPr="00C2761C">
              <w:rPr>
                <w:sz w:val="19"/>
                <w:szCs w:val="19"/>
              </w:rPr>
              <w:t>/extrémizmu alebo ochrane detí alebo mládežníkov v riziku, preukázanú schopnosť medzirezortnej spolupráce a sieťovania a znalosť pôsobenia dotknutých rezortov – tak, aby tieto kritériá vstúpili aj do podmienok financovania nadväzného národného projektu.</w:t>
            </w:r>
          </w:p>
          <w:p w14:paraId="48E50AF7" w14:textId="77777777" w:rsidR="00691FDD" w:rsidRPr="00C2761C" w:rsidRDefault="00691FDD" w:rsidP="00691FDD">
            <w:pPr>
              <w:spacing w:after="100"/>
              <w:rPr>
                <w:sz w:val="19"/>
                <w:szCs w:val="19"/>
              </w:rPr>
            </w:pPr>
            <w:r w:rsidRPr="00C2761C">
              <w:rPr>
                <w:sz w:val="19"/>
                <w:szCs w:val="19"/>
              </w:rPr>
              <w:t>V ods. 4 doplniť nový dôvod odvolania: „na návrh Rady integrovaného systému“.</w:t>
            </w:r>
          </w:p>
          <w:p w14:paraId="15E284AB" w14:textId="77777777" w:rsidR="00691FDD" w:rsidRPr="00C2761C" w:rsidRDefault="00691FDD" w:rsidP="00691FDD">
            <w:pPr>
              <w:spacing w:after="100"/>
            </w:pPr>
            <w:r w:rsidRPr="00C2761C">
              <w:t xml:space="preserve">Zvážiť, či výberovou komisiou pre národného koordinátora už nemá byť priamo samotná rada integrovaného systému, lebo je oveľa väčšia šanca, že ho potom bude sama rešpektovať a je to výrazne demokratickejšie. </w:t>
            </w:r>
          </w:p>
          <w:p w14:paraId="2E084CEB" w14:textId="77777777" w:rsidR="00691FDD" w:rsidRPr="00C2761C" w:rsidRDefault="00691FDD" w:rsidP="00691FDD">
            <w:pPr>
              <w:spacing w:after="60"/>
            </w:pPr>
            <w:r w:rsidRPr="00C2761C">
              <w:rPr>
                <w:b/>
                <w:bCs/>
                <w:sz w:val="19"/>
                <w:szCs w:val="19"/>
              </w:rPr>
              <w:t>Odôvodnenie:</w:t>
            </w:r>
          </w:p>
          <w:p w14:paraId="0F7BA113" w14:textId="77777777" w:rsidR="00691FDD" w:rsidRPr="00C2761C" w:rsidRDefault="00691FDD" w:rsidP="00691FDD">
            <w:pPr>
              <w:spacing w:after="100"/>
              <w:rPr>
                <w:sz w:val="19"/>
                <w:szCs w:val="19"/>
              </w:rPr>
            </w:pPr>
            <w:r w:rsidRPr="00C2761C">
              <w:rPr>
                <w:sz w:val="19"/>
                <w:szCs w:val="19"/>
              </w:rPr>
              <w:t xml:space="preserve">Návrh ponecháva vymedzenie odbornej spôsobilosti výlučne na text oznámenia o výberovom konaní. Bez záruky primeranej úrovne hrozí, že konanie prebehne s nízko nastavenými kritériami, čo spochybní dôveryhodnosť systému, v ktorom má národný koordinátor mimoriadne rozsiahle právomoci (§ 7) bez zákonom vymedzených odborných predpokladov nad rámec VŠ vzdelania 2. stupňa. </w:t>
            </w:r>
          </w:p>
          <w:p w14:paraId="14DF173E" w14:textId="77777777" w:rsidR="00691FDD" w:rsidRPr="00C2761C" w:rsidRDefault="00691FDD" w:rsidP="00691FDD">
            <w:pPr>
              <w:spacing w:after="100"/>
            </w:pPr>
            <w:r w:rsidRPr="00C2761C">
              <w:rPr>
                <w:sz w:val="19"/>
                <w:szCs w:val="19"/>
              </w:rPr>
              <w:t>Vylúčenie politickej príslušnosti a mandátu je štandardnou zárukou nezávislosti pri výkone citlivej agendy práce s deťmi a rodinami s vysokým rizikom politizácie (</w:t>
            </w:r>
            <w:proofErr w:type="spellStart"/>
            <w:r w:rsidRPr="00C2761C">
              <w:rPr>
                <w:sz w:val="19"/>
                <w:szCs w:val="19"/>
              </w:rPr>
              <w:t>radikalizácia</w:t>
            </w:r>
            <w:proofErr w:type="spellEnd"/>
            <w:r w:rsidRPr="00C2761C">
              <w:rPr>
                <w:sz w:val="19"/>
                <w:szCs w:val="19"/>
              </w:rPr>
              <w:t>, extrémizmus).</w:t>
            </w:r>
          </w:p>
          <w:p w14:paraId="3F1C528D" w14:textId="4D8B67FC" w:rsidR="00691FDD" w:rsidRPr="00C2761C" w:rsidRDefault="00691FDD" w:rsidP="00691FDD">
            <w:pPr>
              <w:spacing w:after="100"/>
            </w:pPr>
            <w:r w:rsidRPr="00C2761C">
              <w:rPr>
                <w:sz w:val="19"/>
                <w:szCs w:val="19"/>
              </w:rPr>
              <w:t xml:space="preserve">Doplnenie dôvodu odvolania na návrh Rady integrovaného systému posilňuje kontrolnú funkciu kolektívneho odborného orgánu voči jednej </w:t>
            </w:r>
            <w:proofErr w:type="spellStart"/>
            <w:r w:rsidRPr="00C2761C">
              <w:rPr>
                <w:sz w:val="19"/>
                <w:szCs w:val="19"/>
              </w:rPr>
              <w:t>predsalen</w:t>
            </w:r>
            <w:proofErr w:type="spellEnd"/>
            <w:r w:rsidRPr="00C2761C">
              <w:rPr>
                <w:sz w:val="19"/>
                <w:szCs w:val="19"/>
              </w:rPr>
              <w:t xml:space="preserve"> politicky menovanej osobe.</w:t>
            </w:r>
          </w:p>
        </w:tc>
      </w:tr>
      <w:tr w:rsidR="00691FDD" w:rsidRPr="00C2761C" w14:paraId="3F1C529A" w14:textId="77777777">
        <w:tc>
          <w:tcPr>
            <w:tcW w:w="500" w:type="dxa"/>
            <w:tcMar>
              <w:top w:w="80" w:type="dxa"/>
              <w:left w:w="80" w:type="dxa"/>
              <w:bottom w:w="80" w:type="dxa"/>
              <w:right w:w="80" w:type="dxa"/>
            </w:tcMar>
          </w:tcPr>
          <w:p w14:paraId="3F1C528F" w14:textId="77777777" w:rsidR="00691FDD" w:rsidRPr="00C2761C" w:rsidRDefault="00691FDD" w:rsidP="00691FDD">
            <w:pPr>
              <w:spacing w:after="100"/>
            </w:pPr>
            <w:r w:rsidRPr="00C2761C">
              <w:rPr>
                <w:b/>
                <w:bCs/>
              </w:rPr>
              <w:t>4</w:t>
            </w:r>
          </w:p>
        </w:tc>
        <w:tc>
          <w:tcPr>
            <w:tcW w:w="2000" w:type="dxa"/>
            <w:tcMar>
              <w:top w:w="80" w:type="dxa"/>
              <w:left w:w="80" w:type="dxa"/>
              <w:bottom w:w="80" w:type="dxa"/>
              <w:right w:w="80" w:type="dxa"/>
            </w:tcMar>
          </w:tcPr>
          <w:p w14:paraId="3F1C5290" w14:textId="78210CCE" w:rsidR="00691FDD" w:rsidRPr="00C2761C" w:rsidRDefault="00691FDD" w:rsidP="00691FDD">
            <w:pPr>
              <w:spacing w:after="100"/>
            </w:pPr>
            <w:r w:rsidRPr="00C2761C">
              <w:rPr>
                <w:b/>
                <w:bCs/>
                <w:sz w:val="19"/>
                <w:szCs w:val="19"/>
              </w:rPr>
              <w:t>§ 7 písm. c) (pôsobnosť národného koordinátora)</w:t>
            </w:r>
          </w:p>
        </w:tc>
        <w:tc>
          <w:tcPr>
            <w:tcW w:w="13000" w:type="dxa"/>
            <w:tcMar>
              <w:top w:w="80" w:type="dxa"/>
              <w:left w:w="80" w:type="dxa"/>
              <w:bottom w:w="80" w:type="dxa"/>
              <w:right w:w="80" w:type="dxa"/>
            </w:tcMar>
          </w:tcPr>
          <w:p w14:paraId="26F52802" w14:textId="77777777" w:rsidR="00691FDD" w:rsidRPr="00C2761C" w:rsidRDefault="00691FDD" w:rsidP="00691FDD">
            <w:pPr>
              <w:spacing w:after="100"/>
            </w:pPr>
            <w:r w:rsidRPr="00C2761C">
              <w:rPr>
                <w:b/>
                <w:bCs/>
                <w:caps/>
                <w:color w:val="B00000"/>
                <w:sz w:val="19"/>
                <w:szCs w:val="19"/>
              </w:rPr>
              <w:t>ZÁSADNÁ</w:t>
            </w:r>
          </w:p>
          <w:p w14:paraId="260CA13B" w14:textId="77777777" w:rsidR="00691FDD" w:rsidRPr="00C2761C" w:rsidRDefault="00691FDD" w:rsidP="00691FDD">
            <w:pPr>
              <w:spacing w:after="60"/>
            </w:pPr>
            <w:r w:rsidRPr="00C2761C">
              <w:rPr>
                <w:b/>
                <w:bCs/>
                <w:sz w:val="19"/>
                <w:szCs w:val="19"/>
              </w:rPr>
              <w:t>Návrh zmeny:</w:t>
            </w:r>
          </w:p>
          <w:p w14:paraId="4D92195E" w14:textId="77777777" w:rsidR="00691FDD" w:rsidRPr="00C2761C" w:rsidRDefault="00691FDD" w:rsidP="00691FDD">
            <w:pPr>
              <w:spacing w:after="100"/>
            </w:pPr>
            <w:r w:rsidRPr="00C2761C">
              <w:rPr>
                <w:sz w:val="19"/>
                <w:szCs w:val="19"/>
              </w:rPr>
              <w:t xml:space="preserve">Vypustiť § 7 písm. c): „zvoláva a vedie pracovné skupiny zriaďované podľa potreby na prerokovanie konkrétneho prípadu dieťaťa alebo mládežníka v riziku alebo ohrozenia dieťaťa alebo mládežníka </w:t>
            </w:r>
            <w:proofErr w:type="spellStart"/>
            <w:r w:rsidRPr="00C2761C">
              <w:rPr>
                <w:sz w:val="19"/>
                <w:szCs w:val="19"/>
              </w:rPr>
              <w:t>radikalizáciou</w:t>
            </w:r>
            <w:proofErr w:type="spellEnd"/>
            <w:r w:rsidRPr="00C2761C">
              <w:rPr>
                <w:sz w:val="19"/>
                <w:szCs w:val="19"/>
              </w:rPr>
              <w:t xml:space="preserve"> alebo mobilizáciou k násiliu“.</w:t>
            </w:r>
          </w:p>
          <w:p w14:paraId="78E4092E" w14:textId="77777777" w:rsidR="00691FDD" w:rsidRPr="00C2761C" w:rsidRDefault="00691FDD" w:rsidP="00691FDD">
            <w:pPr>
              <w:spacing w:after="100"/>
            </w:pPr>
            <w:r w:rsidRPr="00C2761C">
              <w:rPr>
                <w:sz w:val="19"/>
                <w:szCs w:val="19"/>
              </w:rPr>
              <w:t xml:space="preserve">Doplniť, že odborná činnosť národného koordinátora podlieha kontrole Rady integrovaného systému, a že v otázkach detí a žiakov je národný koordinátor povinný postupovať v súčinnosti s organizáciou zriadenou ministerstvom školstva na plnenie úloh v oblasti poradenstva a prevencie a so systémom poradenstva a prevencie (§ 130 a </w:t>
            </w:r>
            <w:proofErr w:type="spellStart"/>
            <w:r w:rsidRPr="00C2761C">
              <w:rPr>
                <w:sz w:val="19"/>
                <w:szCs w:val="19"/>
              </w:rPr>
              <w:t>nasl</w:t>
            </w:r>
            <w:proofErr w:type="spellEnd"/>
            <w:r w:rsidRPr="00C2761C">
              <w:rPr>
                <w:sz w:val="19"/>
                <w:szCs w:val="19"/>
              </w:rPr>
              <w:t>. školského zákona), nie ho riadiť.</w:t>
            </w:r>
          </w:p>
          <w:p w14:paraId="5F412857" w14:textId="77777777" w:rsidR="00691FDD" w:rsidRPr="00C2761C" w:rsidRDefault="00691FDD" w:rsidP="00691FDD">
            <w:pPr>
              <w:spacing w:after="60"/>
            </w:pPr>
            <w:r w:rsidRPr="00C2761C">
              <w:rPr>
                <w:b/>
                <w:bCs/>
                <w:sz w:val="19"/>
                <w:szCs w:val="19"/>
              </w:rPr>
              <w:t>Odôvodnenie:</w:t>
            </w:r>
          </w:p>
          <w:p w14:paraId="61B56A8B" w14:textId="77777777" w:rsidR="00691FDD" w:rsidRPr="00C2761C" w:rsidRDefault="00691FDD" w:rsidP="00691FDD">
            <w:pPr>
              <w:spacing w:after="100"/>
            </w:pPr>
            <w:r w:rsidRPr="00C2761C">
              <w:rPr>
                <w:sz w:val="19"/>
                <w:szCs w:val="19"/>
              </w:rPr>
              <w:lastRenderedPageBreak/>
              <w:t xml:space="preserve">Vedenie pracovnej skupiny pre konkrétny prípad dieťaťa je </w:t>
            </w:r>
            <w:proofErr w:type="spellStart"/>
            <w:r w:rsidRPr="00C2761C">
              <w:rPr>
                <w:sz w:val="19"/>
                <w:szCs w:val="19"/>
              </w:rPr>
              <w:t>kazuistická</w:t>
            </w:r>
            <w:proofErr w:type="spellEnd"/>
            <w:r w:rsidRPr="00C2761C">
              <w:rPr>
                <w:sz w:val="19"/>
                <w:szCs w:val="19"/>
              </w:rPr>
              <w:t xml:space="preserve"> práca patriaca na regionálnu/lokálnu úroveň (koordinačná skupina, regionálna rada), nie jednej celoštátnej funkcii bez zákonom vymedzených odborných predpokladov (riadok 4). Súčasné znenie fakticky popiera zásadu subsidiarity, na ktorej má byť postavená trojstupňová štruktúra systému. Ak ide o prípad hodný zreteľa, tak to tak ale musí byť vymedzené, nie všeobecne, lebo teraz to vyzerá, že môže viesť kedykoľvek akýkoľvek prípad bez vymedzenia. </w:t>
            </w:r>
          </w:p>
          <w:p w14:paraId="3F1C5299" w14:textId="07C547A4" w:rsidR="00691FDD" w:rsidRPr="00C2761C" w:rsidRDefault="00691FDD" w:rsidP="00691FDD">
            <w:pPr>
              <w:spacing w:after="100"/>
            </w:pPr>
            <w:r w:rsidRPr="00C2761C">
              <w:rPr>
                <w:sz w:val="19"/>
                <w:szCs w:val="19"/>
              </w:rPr>
              <w:t>Zákon súčasne nezakotvuje žiadnu kontrolu odbornej činnosti národného koordinátora, hoci ide o osobu s výnimočne rozsiahlymi právomocami. Túto medzeru treba odstrániť kontrolnou úlohou Rady a záväznou súčinnosťou s odborným garantom poradenstva a prevencie.</w:t>
            </w:r>
          </w:p>
        </w:tc>
      </w:tr>
      <w:tr w:rsidR="00691FDD" w:rsidRPr="00C2761C" w14:paraId="3F1C52A4" w14:textId="77777777">
        <w:tc>
          <w:tcPr>
            <w:tcW w:w="500" w:type="dxa"/>
            <w:tcMar>
              <w:top w:w="80" w:type="dxa"/>
              <w:left w:w="80" w:type="dxa"/>
              <w:bottom w:w="80" w:type="dxa"/>
              <w:right w:w="80" w:type="dxa"/>
            </w:tcMar>
          </w:tcPr>
          <w:p w14:paraId="3F1C529B" w14:textId="77777777" w:rsidR="00691FDD" w:rsidRPr="00C2761C" w:rsidRDefault="00691FDD" w:rsidP="00691FDD">
            <w:pPr>
              <w:spacing w:after="100"/>
            </w:pPr>
            <w:r w:rsidRPr="00C2761C">
              <w:rPr>
                <w:b/>
                <w:bCs/>
              </w:rPr>
              <w:lastRenderedPageBreak/>
              <w:t>5</w:t>
            </w:r>
          </w:p>
        </w:tc>
        <w:tc>
          <w:tcPr>
            <w:tcW w:w="2000" w:type="dxa"/>
            <w:tcMar>
              <w:top w:w="80" w:type="dxa"/>
              <w:left w:w="80" w:type="dxa"/>
              <w:bottom w:w="80" w:type="dxa"/>
              <w:right w:w="80" w:type="dxa"/>
            </w:tcMar>
          </w:tcPr>
          <w:p w14:paraId="3F1C529C" w14:textId="365A1CB2" w:rsidR="00691FDD" w:rsidRPr="00C2761C" w:rsidRDefault="00691FDD" w:rsidP="00691FDD">
            <w:pPr>
              <w:spacing w:after="100"/>
            </w:pPr>
            <w:r w:rsidRPr="00C2761C">
              <w:rPr>
                <w:b/>
                <w:bCs/>
                <w:sz w:val="19"/>
                <w:szCs w:val="19"/>
              </w:rPr>
              <w:t>§ 8 ods. 3 a ods. 6 (Rada integrovaného systému)</w:t>
            </w:r>
          </w:p>
        </w:tc>
        <w:tc>
          <w:tcPr>
            <w:tcW w:w="13000" w:type="dxa"/>
            <w:tcMar>
              <w:top w:w="80" w:type="dxa"/>
              <w:left w:w="80" w:type="dxa"/>
              <w:bottom w:w="80" w:type="dxa"/>
              <w:right w:w="80" w:type="dxa"/>
            </w:tcMar>
          </w:tcPr>
          <w:p w14:paraId="3A0BA265" w14:textId="77777777" w:rsidR="00691FDD" w:rsidRPr="00C2761C" w:rsidRDefault="00691FDD" w:rsidP="00691FDD">
            <w:pPr>
              <w:spacing w:after="100"/>
            </w:pPr>
            <w:r w:rsidRPr="00C2761C">
              <w:rPr>
                <w:b/>
                <w:bCs/>
                <w:caps/>
                <w:color w:val="B00000"/>
                <w:sz w:val="19"/>
                <w:szCs w:val="19"/>
              </w:rPr>
              <w:t>ZÁSADNÁ</w:t>
            </w:r>
          </w:p>
          <w:p w14:paraId="6B61CC56" w14:textId="77777777" w:rsidR="00691FDD" w:rsidRPr="00C2761C" w:rsidRDefault="00691FDD" w:rsidP="00691FDD">
            <w:pPr>
              <w:spacing w:after="60"/>
            </w:pPr>
            <w:r w:rsidRPr="00C2761C">
              <w:rPr>
                <w:b/>
                <w:bCs/>
                <w:sz w:val="19"/>
                <w:szCs w:val="19"/>
              </w:rPr>
              <w:t>Návrh zmeny:</w:t>
            </w:r>
          </w:p>
          <w:p w14:paraId="21E902AB" w14:textId="77777777" w:rsidR="00691FDD" w:rsidRPr="00C2761C" w:rsidRDefault="00691FDD" w:rsidP="00691FDD">
            <w:pPr>
              <w:spacing w:after="100"/>
            </w:pPr>
            <w:r w:rsidRPr="00C2761C">
              <w:rPr>
                <w:sz w:val="19"/>
                <w:szCs w:val="19"/>
              </w:rPr>
              <w:t xml:space="preserve">Do ods. 3 doplniť medzi ďalších členov Rady zástupcu organizácie zriadenej ministerstvom školstva na plnenie úloh v oblasti poradenstva a prevencie a zástupcov reprezentatívnych organizácií zriaďovateľov škôl (napr. </w:t>
            </w:r>
            <w:proofErr w:type="spellStart"/>
            <w:r w:rsidRPr="00C2761C">
              <w:rPr>
                <w:sz w:val="19"/>
                <w:szCs w:val="19"/>
              </w:rPr>
              <w:t>ZMOS</w:t>
            </w:r>
            <w:proofErr w:type="spellEnd"/>
            <w:r w:rsidRPr="00C2761C">
              <w:rPr>
                <w:sz w:val="19"/>
                <w:szCs w:val="19"/>
              </w:rPr>
              <w:t>, Únia miest Slovenska), doplniť aj zástupcu Rady vlády Slovenskej republiky pre duševné zdravie a zástupcu Slovenskej komory psychológov.</w:t>
            </w:r>
          </w:p>
          <w:p w14:paraId="031824AE" w14:textId="77777777" w:rsidR="00691FDD" w:rsidRPr="00C2761C" w:rsidRDefault="00691FDD" w:rsidP="00691FDD">
            <w:pPr>
              <w:spacing w:after="60"/>
            </w:pPr>
            <w:r w:rsidRPr="00C2761C">
              <w:rPr>
                <w:b/>
                <w:bCs/>
                <w:sz w:val="19"/>
                <w:szCs w:val="19"/>
              </w:rPr>
              <w:t>Odôvodnenie:</w:t>
            </w:r>
          </w:p>
          <w:p w14:paraId="5043D06C" w14:textId="77777777" w:rsidR="00691FDD" w:rsidRPr="00C2761C" w:rsidRDefault="00691FDD" w:rsidP="00691FDD">
            <w:pPr>
              <w:spacing w:after="100"/>
              <w:rPr>
                <w:sz w:val="19"/>
                <w:szCs w:val="19"/>
              </w:rPr>
            </w:pPr>
            <w:r w:rsidRPr="00C2761C">
              <w:rPr>
                <w:sz w:val="19"/>
                <w:szCs w:val="19"/>
              </w:rPr>
              <w:t xml:space="preserve">Rada integrovaného systému má vyhodnocovať účinnosť preventívnych a intervenčných opatrení, z ktorých podstatná časť má psychologický a psychoterapeutický charakter (identifikácia rizika, zmena postojov, práca s traumou a pod.). Bez zastúpenia najvyššieho vládneho koordinačného orgánu pre duševné zdravie a stavovskej organizácie zastrešujúcej odborný a etický dohľad nad výkonom psychologickej činnosti hrozí, že hodnotenie odbornej kvality opatrení ostane výlučne v rukách rezortných a samosprávnych zástupcov bez odbornej kvalifikácie. </w:t>
            </w:r>
          </w:p>
          <w:p w14:paraId="3F1C52A3" w14:textId="549F9554" w:rsidR="00691FDD" w:rsidRPr="00C2761C" w:rsidRDefault="00691FDD" w:rsidP="00691FDD">
            <w:pPr>
              <w:spacing w:after="100"/>
            </w:pPr>
            <w:r w:rsidRPr="00C2761C">
              <w:rPr>
                <w:sz w:val="19"/>
                <w:szCs w:val="19"/>
              </w:rPr>
              <w:t xml:space="preserve">Rada v navrhovanom zložení nezahŕňa taktiež hlavného odborného garanta systému poradenstva a prevencie </w:t>
            </w:r>
            <w:proofErr w:type="spellStart"/>
            <w:r w:rsidRPr="00C2761C">
              <w:rPr>
                <w:sz w:val="19"/>
                <w:szCs w:val="19"/>
              </w:rPr>
              <w:t>VUDPaP</w:t>
            </w:r>
            <w:proofErr w:type="spellEnd"/>
            <w:r w:rsidRPr="00C2761C">
              <w:rPr>
                <w:sz w:val="19"/>
                <w:szCs w:val="19"/>
              </w:rPr>
              <w:t>, hoci sa jej hodnotenie plánov opatrení bude v podstatnej časti dotýkať detí a žiakov v školách; rovnako chýba zastúpenie zriaďovateľov škôl.</w:t>
            </w:r>
          </w:p>
        </w:tc>
      </w:tr>
      <w:tr w:rsidR="00691FDD" w:rsidRPr="00C2761C" w14:paraId="3F1C52AE" w14:textId="77777777">
        <w:tc>
          <w:tcPr>
            <w:tcW w:w="500" w:type="dxa"/>
            <w:tcMar>
              <w:top w:w="80" w:type="dxa"/>
              <w:left w:w="80" w:type="dxa"/>
              <w:bottom w:w="80" w:type="dxa"/>
              <w:right w:w="80" w:type="dxa"/>
            </w:tcMar>
          </w:tcPr>
          <w:p w14:paraId="3F1C52A5" w14:textId="77777777" w:rsidR="00691FDD" w:rsidRPr="00C2761C" w:rsidRDefault="00691FDD" w:rsidP="00691FDD">
            <w:pPr>
              <w:spacing w:after="100"/>
            </w:pPr>
            <w:r w:rsidRPr="00C2761C">
              <w:rPr>
                <w:b/>
                <w:bCs/>
              </w:rPr>
              <w:t>6</w:t>
            </w:r>
          </w:p>
        </w:tc>
        <w:tc>
          <w:tcPr>
            <w:tcW w:w="2000" w:type="dxa"/>
            <w:tcMar>
              <w:top w:w="80" w:type="dxa"/>
              <w:left w:w="80" w:type="dxa"/>
              <w:bottom w:w="80" w:type="dxa"/>
              <w:right w:w="80" w:type="dxa"/>
            </w:tcMar>
          </w:tcPr>
          <w:p w14:paraId="3F1C52A6" w14:textId="09309D0C" w:rsidR="00691FDD" w:rsidRPr="00C2761C" w:rsidRDefault="00691FDD" w:rsidP="00691FDD">
            <w:pPr>
              <w:spacing w:after="100"/>
            </w:pPr>
            <w:r w:rsidRPr="00C2761C">
              <w:rPr>
                <w:b/>
                <w:bCs/>
                <w:sz w:val="19"/>
                <w:szCs w:val="19"/>
              </w:rPr>
              <w:t>§ 9 (regionálny koordinátor)</w:t>
            </w:r>
          </w:p>
        </w:tc>
        <w:tc>
          <w:tcPr>
            <w:tcW w:w="13000" w:type="dxa"/>
            <w:tcMar>
              <w:top w:w="80" w:type="dxa"/>
              <w:left w:w="80" w:type="dxa"/>
              <w:bottom w:w="80" w:type="dxa"/>
              <w:right w:w="80" w:type="dxa"/>
            </w:tcMar>
          </w:tcPr>
          <w:p w14:paraId="29058D8F" w14:textId="77777777" w:rsidR="00691FDD" w:rsidRPr="00C2761C" w:rsidRDefault="00691FDD" w:rsidP="00691FDD">
            <w:pPr>
              <w:spacing w:after="100"/>
            </w:pPr>
            <w:r w:rsidRPr="00C2761C">
              <w:rPr>
                <w:b/>
                <w:bCs/>
                <w:caps/>
                <w:color w:val="B00000"/>
                <w:sz w:val="19"/>
                <w:szCs w:val="19"/>
              </w:rPr>
              <w:t>ZÁSADNÁ</w:t>
            </w:r>
          </w:p>
          <w:p w14:paraId="55146344" w14:textId="77777777" w:rsidR="00691FDD" w:rsidRPr="00C2761C" w:rsidRDefault="00691FDD" w:rsidP="00691FDD">
            <w:pPr>
              <w:spacing w:after="60"/>
            </w:pPr>
            <w:r w:rsidRPr="00C2761C">
              <w:rPr>
                <w:b/>
                <w:bCs/>
                <w:sz w:val="19"/>
                <w:szCs w:val="19"/>
              </w:rPr>
              <w:t>Návrh zmeny:</w:t>
            </w:r>
          </w:p>
          <w:p w14:paraId="0A310A03" w14:textId="77777777" w:rsidR="00691FDD" w:rsidRPr="00C2761C" w:rsidRDefault="00691FDD" w:rsidP="00691FDD">
            <w:pPr>
              <w:spacing w:after="100"/>
            </w:pPr>
            <w:r w:rsidRPr="00C2761C">
              <w:rPr>
                <w:sz w:val="19"/>
                <w:szCs w:val="19"/>
              </w:rPr>
              <w:t>Doplniť kvalifikačné a odborné predpoklady na výkon funkcie regionálneho koordinátora, obdobne ako pri národnom koordinátorovi (§ 6 ods. 3), primerane regionálnej pôsobnosti. (príp. do dôvodovej správy).</w:t>
            </w:r>
          </w:p>
          <w:p w14:paraId="1659D48F" w14:textId="77777777" w:rsidR="00691FDD" w:rsidRPr="00C2761C" w:rsidRDefault="00691FDD" w:rsidP="00691FDD">
            <w:pPr>
              <w:spacing w:after="100"/>
            </w:pPr>
            <w:r w:rsidRPr="00C2761C">
              <w:rPr>
                <w:sz w:val="19"/>
                <w:szCs w:val="19"/>
              </w:rPr>
              <w:t>Zvážiť, či regionálneho koordinátora namiesto vymenovania na regionálnom úrade školskej správy nemá voliť alebo byť výberovou komisiou priamo regionálna rada. Je to výrazne väčšia šanca, že bude rešpektovaný miestnymi autoritami ako keď tam niekoho dosadí Bratislava.</w:t>
            </w:r>
          </w:p>
          <w:p w14:paraId="0F3C1FA9" w14:textId="77777777" w:rsidR="00691FDD" w:rsidRPr="00C2761C" w:rsidRDefault="00691FDD" w:rsidP="00691FDD">
            <w:pPr>
              <w:spacing w:after="100"/>
            </w:pPr>
            <w:r w:rsidRPr="00C2761C">
              <w:rPr>
                <w:sz w:val="19"/>
                <w:szCs w:val="19"/>
              </w:rPr>
              <w:t>Doplniť, že ak ide o dieťa alebo žiaka podľa školského zákona, regionálny koordinátor postupuje v súčinnosti s centrom poradenstva a prevencie povereným metodickým riadením v kraji podľa osobitného predpisu (§ 132 ods. 4 zákona č. 245/2008 Z. z.)</w:t>
            </w:r>
          </w:p>
          <w:p w14:paraId="1097423B" w14:textId="77777777" w:rsidR="00691FDD" w:rsidRPr="00C2761C" w:rsidRDefault="00691FDD" w:rsidP="00691FDD">
            <w:pPr>
              <w:spacing w:after="100"/>
            </w:pPr>
            <w:r w:rsidRPr="00C2761C">
              <w:rPr>
                <w:sz w:val="19"/>
                <w:szCs w:val="19"/>
              </w:rPr>
              <w:t>V ods. 2 písm. b) doplniť, že regionálny koordinátor zvoláva zasadnutie koordinačnej skupiny bezodkladne aj na podnet centra poradenstva a prevencie podľa predchádzajúceho bodu, ak ide o dieťa alebo žiaka, alebo na podnet regionálnej rady.</w:t>
            </w:r>
          </w:p>
          <w:p w14:paraId="15D48EE1" w14:textId="77777777" w:rsidR="00691FDD" w:rsidRPr="00C2761C" w:rsidRDefault="00691FDD" w:rsidP="00691FDD">
            <w:pPr>
              <w:spacing w:after="60"/>
            </w:pPr>
            <w:r w:rsidRPr="00C2761C">
              <w:rPr>
                <w:b/>
                <w:bCs/>
                <w:sz w:val="19"/>
                <w:szCs w:val="19"/>
              </w:rPr>
              <w:t>Odôvodnenie:</w:t>
            </w:r>
          </w:p>
          <w:p w14:paraId="1679FF1E" w14:textId="77777777" w:rsidR="00691FDD" w:rsidRPr="00C2761C" w:rsidRDefault="00691FDD" w:rsidP="00691FDD">
            <w:pPr>
              <w:spacing w:after="100"/>
            </w:pPr>
            <w:r w:rsidRPr="00C2761C">
              <w:rPr>
                <w:sz w:val="19"/>
                <w:szCs w:val="19"/>
              </w:rPr>
              <w:t xml:space="preserve">Regionálny koordinátor má rozhodovať o závažných veciach, pričom zákon naň nekladie žiadne odborné ani kvalifikačné požiadavky – ide o rovnaký nedostatok ako pri národnom koordinátorovi (riadok 4), tu však ide o 8 nových pozícií. Okrem toho je takmer isté, že bude veľký problém nájsť takýchto expertov, a ak sa nájdu, odídu z pozícii, kde boli už teraz veľmi potrební. </w:t>
            </w:r>
          </w:p>
          <w:p w14:paraId="3F1C52AD" w14:textId="613CF046" w:rsidR="00691FDD" w:rsidRPr="00C2761C" w:rsidRDefault="00691FDD" w:rsidP="00691FDD">
            <w:pPr>
              <w:spacing w:after="100"/>
            </w:pPr>
            <w:r w:rsidRPr="00C2761C">
              <w:rPr>
                <w:sz w:val="19"/>
                <w:szCs w:val="19"/>
              </w:rPr>
              <w:t xml:space="preserve">Väzba na krajské CPP zabezpečí súčinnosť regionálneho koordinátora s existujúcou odbornou autoritou v regióne a čiastočne rieši demarkáciu a duplicitné financovania voči existujúcim 3 regionálnym koordinátorom </w:t>
            </w:r>
            <w:proofErr w:type="spellStart"/>
            <w:r w:rsidRPr="00C2761C">
              <w:rPr>
                <w:sz w:val="19"/>
                <w:szCs w:val="19"/>
              </w:rPr>
              <w:t>NKS</w:t>
            </w:r>
            <w:proofErr w:type="spellEnd"/>
            <w:r w:rsidRPr="00C2761C">
              <w:rPr>
                <w:sz w:val="19"/>
                <w:szCs w:val="19"/>
              </w:rPr>
              <w:t xml:space="preserve"> financovaným z </w:t>
            </w:r>
            <w:proofErr w:type="spellStart"/>
            <w:r w:rsidRPr="00C2761C">
              <w:rPr>
                <w:sz w:val="19"/>
                <w:szCs w:val="19"/>
              </w:rPr>
              <w:t>ESF</w:t>
            </w:r>
            <w:proofErr w:type="spellEnd"/>
            <w:r w:rsidRPr="00C2761C">
              <w:rPr>
                <w:sz w:val="19"/>
                <w:szCs w:val="19"/>
              </w:rPr>
              <w:t xml:space="preserve">+. </w:t>
            </w:r>
          </w:p>
        </w:tc>
      </w:tr>
      <w:tr w:rsidR="00691FDD" w:rsidRPr="00C2761C" w14:paraId="3F1C52BA" w14:textId="77777777">
        <w:tc>
          <w:tcPr>
            <w:tcW w:w="500" w:type="dxa"/>
            <w:tcMar>
              <w:top w:w="80" w:type="dxa"/>
              <w:left w:w="80" w:type="dxa"/>
              <w:bottom w:w="80" w:type="dxa"/>
              <w:right w:w="80" w:type="dxa"/>
            </w:tcMar>
          </w:tcPr>
          <w:p w14:paraId="3F1C52AF" w14:textId="77777777" w:rsidR="00691FDD" w:rsidRPr="00C2761C" w:rsidRDefault="00691FDD" w:rsidP="00691FDD">
            <w:pPr>
              <w:spacing w:after="100"/>
            </w:pPr>
            <w:r w:rsidRPr="00C2761C">
              <w:rPr>
                <w:b/>
                <w:bCs/>
              </w:rPr>
              <w:t>7</w:t>
            </w:r>
          </w:p>
        </w:tc>
        <w:tc>
          <w:tcPr>
            <w:tcW w:w="2000" w:type="dxa"/>
            <w:tcMar>
              <w:top w:w="80" w:type="dxa"/>
              <w:left w:w="80" w:type="dxa"/>
              <w:bottom w:w="80" w:type="dxa"/>
              <w:right w:w="80" w:type="dxa"/>
            </w:tcMar>
          </w:tcPr>
          <w:p w14:paraId="3F1C52B0" w14:textId="79DA871E" w:rsidR="00691FDD" w:rsidRPr="00C2761C" w:rsidRDefault="00691FDD" w:rsidP="00691FDD">
            <w:pPr>
              <w:spacing w:after="100"/>
            </w:pPr>
            <w:r w:rsidRPr="00C2761C">
              <w:rPr>
                <w:b/>
                <w:bCs/>
                <w:sz w:val="19"/>
                <w:szCs w:val="19"/>
              </w:rPr>
              <w:t>§ 10 ods. 3 písm. g) a h), ods. 4 a ods. 6 (regionálna rada)</w:t>
            </w:r>
          </w:p>
        </w:tc>
        <w:tc>
          <w:tcPr>
            <w:tcW w:w="13000" w:type="dxa"/>
            <w:tcMar>
              <w:top w:w="80" w:type="dxa"/>
              <w:left w:w="80" w:type="dxa"/>
              <w:bottom w:w="80" w:type="dxa"/>
              <w:right w:w="80" w:type="dxa"/>
            </w:tcMar>
          </w:tcPr>
          <w:p w14:paraId="4F7E73FF" w14:textId="77777777" w:rsidR="00691FDD" w:rsidRPr="00C2761C" w:rsidRDefault="00691FDD" w:rsidP="00691FDD">
            <w:pPr>
              <w:spacing w:after="100"/>
            </w:pPr>
            <w:r w:rsidRPr="00C2761C">
              <w:rPr>
                <w:b/>
                <w:bCs/>
                <w:caps/>
                <w:color w:val="B00000"/>
                <w:sz w:val="19"/>
                <w:szCs w:val="19"/>
              </w:rPr>
              <w:t>ZÁSADNÁ</w:t>
            </w:r>
          </w:p>
          <w:p w14:paraId="4134DF45" w14:textId="77777777" w:rsidR="00691FDD" w:rsidRPr="00C2761C" w:rsidRDefault="00691FDD" w:rsidP="00691FDD">
            <w:pPr>
              <w:spacing w:after="60"/>
            </w:pPr>
            <w:r w:rsidRPr="00C2761C">
              <w:rPr>
                <w:b/>
                <w:bCs/>
                <w:sz w:val="19"/>
                <w:szCs w:val="19"/>
              </w:rPr>
              <w:t>Návrh zmeny:</w:t>
            </w:r>
          </w:p>
          <w:p w14:paraId="2466278B" w14:textId="77777777" w:rsidR="00691FDD" w:rsidRPr="00C2761C" w:rsidRDefault="00691FDD" w:rsidP="00691FDD">
            <w:pPr>
              <w:spacing w:after="100"/>
            </w:pPr>
            <w:r w:rsidRPr="00C2761C">
              <w:rPr>
                <w:sz w:val="19"/>
                <w:szCs w:val="19"/>
              </w:rPr>
              <w:lastRenderedPageBreak/>
              <w:t>V ods. 3 písm. g) nahradiť slová „ktoré majú sídlo na území príslušného kraja“ slovami „ktoré vykonávajú činnosť na území príslušného kraja“.</w:t>
            </w:r>
          </w:p>
          <w:p w14:paraId="7E07D24A" w14:textId="77777777" w:rsidR="00691FDD" w:rsidRPr="00C2761C" w:rsidRDefault="00691FDD" w:rsidP="00691FDD">
            <w:pPr>
              <w:spacing w:after="100"/>
            </w:pPr>
            <w:r w:rsidRPr="00C2761C">
              <w:rPr>
                <w:sz w:val="19"/>
                <w:szCs w:val="19"/>
              </w:rPr>
              <w:t>V ods. 3 písm. h) doplniť, že ďalšieho člena môže určiť nielen regionálny koordinátor, ale aj samotná regionálna rada.</w:t>
            </w:r>
          </w:p>
          <w:p w14:paraId="0D1B5613" w14:textId="77777777" w:rsidR="00691FDD" w:rsidRPr="00C2761C" w:rsidRDefault="00691FDD" w:rsidP="00691FDD">
            <w:pPr>
              <w:spacing w:after="100"/>
            </w:pPr>
            <w:r w:rsidRPr="00C2761C">
              <w:rPr>
                <w:sz w:val="19"/>
                <w:szCs w:val="19"/>
              </w:rPr>
              <w:t xml:space="preserve">Doplniť ako ďalších členov zástupcov zriaďovateľov škôl a školských zariadení (príp. </w:t>
            </w:r>
            <w:proofErr w:type="spellStart"/>
            <w:r w:rsidRPr="00C2761C">
              <w:rPr>
                <w:sz w:val="19"/>
                <w:szCs w:val="19"/>
              </w:rPr>
              <w:t>RÚŠS</w:t>
            </w:r>
            <w:proofErr w:type="spellEnd"/>
            <w:r w:rsidRPr="00C2761C">
              <w:rPr>
                <w:sz w:val="19"/>
                <w:szCs w:val="19"/>
              </w:rPr>
              <w:t>) a zástupcu miest a obcí (napr. aspoň krajského mesta), keďže samospráva je dnes zastúpená iba na úrovni kraja, ktorý zriaďuje iba stredné školy, ale problém vzniká a začína už neraz práve v ZŠ a aj prevencia tam musí začať.</w:t>
            </w:r>
          </w:p>
          <w:p w14:paraId="6CC1CDAC" w14:textId="77777777" w:rsidR="00691FDD" w:rsidRPr="00C2761C" w:rsidRDefault="00691FDD" w:rsidP="00691FDD">
            <w:pPr>
              <w:spacing w:after="100"/>
            </w:pPr>
            <w:r w:rsidRPr="00C2761C">
              <w:rPr>
                <w:sz w:val="19"/>
                <w:szCs w:val="19"/>
              </w:rPr>
              <w:t>V ods. 6 vypustiť slová „najmenej raz za dva mesiace“ a ponechať zvolávanie „podľa potreby“, prípadne s menej rigidnou minimálnou frekvenciou (napr. raz za polrok).</w:t>
            </w:r>
          </w:p>
          <w:p w14:paraId="61FC3738" w14:textId="77777777" w:rsidR="00691FDD" w:rsidRPr="00C2761C" w:rsidRDefault="00691FDD" w:rsidP="00691FDD">
            <w:pPr>
              <w:spacing w:after="60"/>
            </w:pPr>
            <w:r w:rsidRPr="00C2761C">
              <w:rPr>
                <w:b/>
                <w:bCs/>
                <w:sz w:val="19"/>
                <w:szCs w:val="19"/>
              </w:rPr>
              <w:t>Odôvodnenie:</w:t>
            </w:r>
          </w:p>
          <w:p w14:paraId="23DF4360" w14:textId="77777777" w:rsidR="00691FDD" w:rsidRPr="00C2761C" w:rsidRDefault="00691FDD" w:rsidP="00691FDD">
            <w:pPr>
              <w:spacing w:after="100"/>
            </w:pPr>
            <w:r w:rsidRPr="00C2761C">
              <w:rPr>
                <w:sz w:val="19"/>
                <w:szCs w:val="19"/>
              </w:rPr>
              <w:t>Väzba na „sídlo“ v kraji je formálna a nezohľadňuje skutočné miesto výkonu činnosti akreditovaného subjektu.</w:t>
            </w:r>
          </w:p>
          <w:p w14:paraId="47288028" w14:textId="77777777" w:rsidR="00691FDD" w:rsidRPr="00C2761C" w:rsidRDefault="00691FDD" w:rsidP="00691FDD">
            <w:pPr>
              <w:spacing w:after="100"/>
            </w:pPr>
            <w:r w:rsidRPr="00C2761C">
              <w:rPr>
                <w:sz w:val="19"/>
                <w:szCs w:val="19"/>
              </w:rPr>
              <w:t>Umožnenie regionálnej rade určiť ďalšieho člena posilňuje jej autonómiu ako odborného orgánu.</w:t>
            </w:r>
          </w:p>
          <w:p w14:paraId="77C966E7" w14:textId="77777777" w:rsidR="00691FDD" w:rsidRPr="00C2761C" w:rsidRDefault="00691FDD" w:rsidP="00691FDD">
            <w:pPr>
              <w:spacing w:after="100"/>
            </w:pPr>
            <w:r w:rsidRPr="00C2761C">
              <w:rPr>
                <w:sz w:val="19"/>
                <w:szCs w:val="19"/>
              </w:rPr>
              <w:t>Súčasné zloženie nezahŕňa zástupcu zriaďovateľov škôl ani miest a obcí, hoci škola a jej zriaďovateľ sú kľúčovým subjektom pri realizácii preventívnych opatrení.</w:t>
            </w:r>
          </w:p>
          <w:p w14:paraId="3F1C52B9" w14:textId="047DAD19" w:rsidR="00691FDD" w:rsidRPr="00C2761C" w:rsidRDefault="00691FDD" w:rsidP="00691FDD">
            <w:pPr>
              <w:spacing w:after="100"/>
            </w:pPr>
            <w:r w:rsidRPr="00C2761C">
              <w:rPr>
                <w:sz w:val="19"/>
                <w:szCs w:val="19"/>
              </w:rPr>
              <w:t>Pevná frekvencia „najmenej raz za dva mesiace“ nezohľadňuje reálnu vyťaženosť rady a môže viesť k formálnym zasadnutiam len na splnenie litery zákona.</w:t>
            </w:r>
          </w:p>
        </w:tc>
      </w:tr>
      <w:tr w:rsidR="00691FDD" w:rsidRPr="00C2761C" w14:paraId="3F1C52C4" w14:textId="77777777">
        <w:tc>
          <w:tcPr>
            <w:tcW w:w="500" w:type="dxa"/>
            <w:tcMar>
              <w:top w:w="80" w:type="dxa"/>
              <w:left w:w="80" w:type="dxa"/>
              <w:bottom w:w="80" w:type="dxa"/>
              <w:right w:w="80" w:type="dxa"/>
            </w:tcMar>
          </w:tcPr>
          <w:p w14:paraId="3F1C52BB" w14:textId="77777777" w:rsidR="00691FDD" w:rsidRPr="00C2761C" w:rsidRDefault="00691FDD" w:rsidP="00691FDD">
            <w:pPr>
              <w:spacing w:after="100"/>
            </w:pPr>
            <w:r w:rsidRPr="00C2761C">
              <w:rPr>
                <w:b/>
                <w:bCs/>
              </w:rPr>
              <w:lastRenderedPageBreak/>
              <w:t>8</w:t>
            </w:r>
          </w:p>
        </w:tc>
        <w:tc>
          <w:tcPr>
            <w:tcW w:w="2000" w:type="dxa"/>
            <w:tcMar>
              <w:top w:w="80" w:type="dxa"/>
              <w:left w:w="80" w:type="dxa"/>
              <w:bottom w:w="80" w:type="dxa"/>
              <w:right w:w="80" w:type="dxa"/>
            </w:tcMar>
          </w:tcPr>
          <w:p w14:paraId="3F1C52BC" w14:textId="64665140" w:rsidR="00691FDD" w:rsidRPr="00C2761C" w:rsidRDefault="00691FDD" w:rsidP="00691FDD">
            <w:pPr>
              <w:spacing w:after="100"/>
            </w:pPr>
            <w:r w:rsidRPr="00C2761C">
              <w:rPr>
                <w:b/>
                <w:bCs/>
                <w:sz w:val="19"/>
                <w:szCs w:val="19"/>
              </w:rPr>
              <w:t>§ 11 (zvolávanie a vedenie koordinačnej skupiny pri deťoch/žiakoch)</w:t>
            </w:r>
          </w:p>
        </w:tc>
        <w:tc>
          <w:tcPr>
            <w:tcW w:w="13000" w:type="dxa"/>
            <w:tcMar>
              <w:top w:w="80" w:type="dxa"/>
              <w:left w:w="80" w:type="dxa"/>
              <w:bottom w:w="80" w:type="dxa"/>
              <w:right w:w="80" w:type="dxa"/>
            </w:tcMar>
          </w:tcPr>
          <w:p w14:paraId="4447F4CB" w14:textId="77777777" w:rsidR="00691FDD" w:rsidRPr="00C2761C" w:rsidRDefault="00691FDD" w:rsidP="00691FDD">
            <w:pPr>
              <w:spacing w:after="100"/>
            </w:pPr>
            <w:r w:rsidRPr="00C2761C">
              <w:rPr>
                <w:b/>
                <w:bCs/>
                <w:caps/>
                <w:color w:val="B00000"/>
                <w:sz w:val="19"/>
                <w:szCs w:val="19"/>
              </w:rPr>
              <w:t>ZÁSADNÁ</w:t>
            </w:r>
          </w:p>
          <w:p w14:paraId="1786E2D8" w14:textId="77777777" w:rsidR="00691FDD" w:rsidRPr="00C2761C" w:rsidRDefault="00691FDD" w:rsidP="00691FDD">
            <w:pPr>
              <w:spacing w:after="60"/>
            </w:pPr>
            <w:r w:rsidRPr="00C2761C">
              <w:rPr>
                <w:b/>
                <w:bCs/>
                <w:sz w:val="19"/>
                <w:szCs w:val="19"/>
              </w:rPr>
              <w:t>Návrh zmeny:</w:t>
            </w:r>
          </w:p>
          <w:p w14:paraId="2CB93CCE" w14:textId="77777777" w:rsidR="00691FDD" w:rsidRPr="00C2761C" w:rsidRDefault="00691FDD" w:rsidP="00691FDD">
            <w:pPr>
              <w:spacing w:after="100"/>
              <w:rPr>
                <w:sz w:val="19"/>
                <w:szCs w:val="19"/>
              </w:rPr>
            </w:pPr>
            <w:r w:rsidRPr="00C2761C">
              <w:rPr>
                <w:sz w:val="19"/>
                <w:szCs w:val="19"/>
              </w:rPr>
              <w:t>Doplniť, že zloženie a činnosť koordinačnej skupiny musia byť pri deťoch a žiakoch podľa školského zákona v súčinnosti so systémom poradenstva a prevencie.</w:t>
            </w:r>
          </w:p>
          <w:p w14:paraId="595E777D" w14:textId="77777777" w:rsidR="00691FDD" w:rsidRPr="00C2761C" w:rsidRDefault="00691FDD" w:rsidP="00691FDD">
            <w:pPr>
              <w:spacing w:after="100"/>
              <w:rPr>
                <w:sz w:val="19"/>
                <w:szCs w:val="19"/>
              </w:rPr>
            </w:pPr>
            <w:r w:rsidRPr="00C2761C">
              <w:rPr>
                <w:sz w:val="19"/>
                <w:szCs w:val="19"/>
              </w:rPr>
              <w:t>Koordinačnú skupinu v takomto prípade štandardne zvoláva a vedie koordinátor ochrany detí (§ 11 ods. 2 písm. g)), a ak nie je určený alebo prípad nevedie tento koordinátor, iný člen, ktorého vedením poverí regionálny koordinátor.</w:t>
            </w:r>
          </w:p>
          <w:p w14:paraId="181AC949" w14:textId="77777777" w:rsidR="00691FDD" w:rsidRPr="00C2761C" w:rsidRDefault="00691FDD" w:rsidP="00691FDD">
            <w:pPr>
              <w:spacing w:after="60"/>
            </w:pPr>
            <w:r w:rsidRPr="00C2761C">
              <w:rPr>
                <w:b/>
                <w:bCs/>
                <w:sz w:val="19"/>
                <w:szCs w:val="19"/>
              </w:rPr>
              <w:t>Odôvodnenie:</w:t>
            </w:r>
          </w:p>
          <w:p w14:paraId="3F1C52C3" w14:textId="56A8A4F3" w:rsidR="00691FDD" w:rsidRPr="00C2761C" w:rsidRDefault="00691FDD" w:rsidP="00691FDD">
            <w:pPr>
              <w:spacing w:after="100"/>
            </w:pPr>
            <w:r w:rsidRPr="00C2761C">
              <w:rPr>
                <w:sz w:val="19"/>
                <w:szCs w:val="19"/>
              </w:rPr>
              <w:t>Ide o rozpracovanie prísľubu ministra školstva z 2. 7. 2026 priamo do textu § 11: koordinačná skupina rozhodujúca o dieťati alebo žiakovi má byť pravidlom vedená koordinátorom ochrany detí, nie centralizovane regionálnym koordinátorom bez vzťahu ku konkrétnemu prípadu, a jej zloženie a postup majú rešpektovať existujúci systém poradenstva a prevencie, ktorý dieťa spravidla už pozná.</w:t>
            </w:r>
          </w:p>
        </w:tc>
      </w:tr>
      <w:tr w:rsidR="00691FDD" w:rsidRPr="00C2761C" w14:paraId="3F1C52D2" w14:textId="77777777">
        <w:tc>
          <w:tcPr>
            <w:tcW w:w="500" w:type="dxa"/>
            <w:tcMar>
              <w:top w:w="80" w:type="dxa"/>
              <w:left w:w="80" w:type="dxa"/>
              <w:bottom w:w="80" w:type="dxa"/>
              <w:right w:w="80" w:type="dxa"/>
            </w:tcMar>
          </w:tcPr>
          <w:p w14:paraId="3F1C52C5" w14:textId="77777777" w:rsidR="00691FDD" w:rsidRPr="00C2761C" w:rsidRDefault="00691FDD" w:rsidP="00691FDD">
            <w:pPr>
              <w:spacing w:after="100"/>
            </w:pPr>
            <w:r w:rsidRPr="00C2761C">
              <w:rPr>
                <w:b/>
                <w:bCs/>
              </w:rPr>
              <w:t>9</w:t>
            </w:r>
          </w:p>
        </w:tc>
        <w:tc>
          <w:tcPr>
            <w:tcW w:w="2000" w:type="dxa"/>
            <w:tcMar>
              <w:top w:w="80" w:type="dxa"/>
              <w:left w:w="80" w:type="dxa"/>
              <w:bottom w:w="80" w:type="dxa"/>
              <w:right w:w="80" w:type="dxa"/>
            </w:tcMar>
          </w:tcPr>
          <w:p w14:paraId="3F1C52C6" w14:textId="1ECCD74B" w:rsidR="00691FDD" w:rsidRPr="00C2761C" w:rsidRDefault="00691FDD" w:rsidP="00691FDD">
            <w:pPr>
              <w:spacing w:after="100"/>
            </w:pPr>
            <w:r w:rsidRPr="00C2761C">
              <w:rPr>
                <w:b/>
                <w:bCs/>
                <w:sz w:val="19"/>
                <w:szCs w:val="19"/>
              </w:rPr>
              <w:t>§ 12 ods. 1 (akreditované vzdelávacie a preventívne programy)</w:t>
            </w:r>
          </w:p>
        </w:tc>
        <w:tc>
          <w:tcPr>
            <w:tcW w:w="13000" w:type="dxa"/>
            <w:tcMar>
              <w:top w:w="80" w:type="dxa"/>
              <w:left w:w="80" w:type="dxa"/>
              <w:bottom w:w="80" w:type="dxa"/>
              <w:right w:w="80" w:type="dxa"/>
            </w:tcMar>
          </w:tcPr>
          <w:p w14:paraId="336C29FE" w14:textId="77777777" w:rsidR="00691FDD" w:rsidRPr="00C2761C" w:rsidRDefault="00691FDD" w:rsidP="00691FDD">
            <w:pPr>
              <w:spacing w:after="100"/>
            </w:pPr>
            <w:r w:rsidRPr="00C2761C">
              <w:rPr>
                <w:b/>
                <w:bCs/>
                <w:caps/>
                <w:color w:val="B00000"/>
                <w:sz w:val="19"/>
                <w:szCs w:val="19"/>
              </w:rPr>
              <w:t>ZÁSADNÁ</w:t>
            </w:r>
          </w:p>
          <w:p w14:paraId="5793D5A1" w14:textId="77777777" w:rsidR="00691FDD" w:rsidRPr="00C2761C" w:rsidRDefault="00691FDD" w:rsidP="00691FDD">
            <w:pPr>
              <w:spacing w:after="60"/>
            </w:pPr>
            <w:r w:rsidRPr="00C2761C">
              <w:rPr>
                <w:b/>
                <w:bCs/>
                <w:sz w:val="19"/>
                <w:szCs w:val="19"/>
              </w:rPr>
              <w:t>Návrh zmeny:</w:t>
            </w:r>
          </w:p>
          <w:p w14:paraId="5D7771F4" w14:textId="77777777" w:rsidR="00691FDD" w:rsidRPr="00C2761C" w:rsidRDefault="00691FDD" w:rsidP="00691FDD">
            <w:pPr>
              <w:spacing w:after="100"/>
              <w:rPr>
                <w:sz w:val="19"/>
                <w:szCs w:val="19"/>
              </w:rPr>
            </w:pPr>
            <w:r w:rsidRPr="00C2761C">
              <w:rPr>
                <w:sz w:val="19"/>
                <w:szCs w:val="19"/>
              </w:rPr>
              <w:t>Spresniť, že ide o vzdelávacie programy podľa osobitného predpisu (zákon č. 292/2024 Z. z. o vzdelávaní dospelých); podmienka sa nevzťahuje na zariadenie poradenstva a prevencie, na organizáciu zriadenú ministerstvo školstva na činnosti poradenstva a prevencie (</w:t>
            </w:r>
            <w:proofErr w:type="spellStart"/>
            <w:r w:rsidRPr="00C2761C">
              <w:rPr>
                <w:sz w:val="19"/>
                <w:szCs w:val="19"/>
              </w:rPr>
              <w:t>VUDPaP</w:t>
            </w:r>
            <w:proofErr w:type="spellEnd"/>
            <w:r w:rsidRPr="00C2761C">
              <w:rPr>
                <w:sz w:val="19"/>
                <w:szCs w:val="19"/>
              </w:rPr>
              <w:t xml:space="preserve">) a na </w:t>
            </w:r>
            <w:proofErr w:type="spellStart"/>
            <w:r w:rsidRPr="00C2761C">
              <w:rPr>
                <w:sz w:val="19"/>
                <w:szCs w:val="19"/>
              </w:rPr>
              <w:t>NKS</w:t>
            </w:r>
            <w:proofErr w:type="spellEnd"/>
            <w:r w:rsidRPr="00C2761C">
              <w:rPr>
                <w:sz w:val="19"/>
                <w:szCs w:val="19"/>
              </w:rPr>
              <w:t>.</w:t>
            </w:r>
          </w:p>
          <w:p w14:paraId="4A5B9021" w14:textId="77777777" w:rsidR="00691FDD" w:rsidRPr="00C2761C" w:rsidRDefault="00691FDD" w:rsidP="00691FDD">
            <w:pPr>
              <w:spacing w:after="100"/>
              <w:rPr>
                <w:sz w:val="19"/>
                <w:szCs w:val="19"/>
              </w:rPr>
            </w:pPr>
            <w:r w:rsidRPr="00C2761C">
              <w:rPr>
                <w:sz w:val="19"/>
                <w:szCs w:val="19"/>
              </w:rPr>
              <w:t>Doplniť do ods. 1 za slová "na uskutočňovanie programov podľa § 12 ods. 1" slová: „alebo na realizáciu intervenčného opatrenia podľa plánu preventívnych opatrení a intervenčných opatrení.“</w:t>
            </w:r>
          </w:p>
          <w:p w14:paraId="35B530CF" w14:textId="77777777" w:rsidR="00691FDD" w:rsidRPr="00C2761C" w:rsidRDefault="00691FDD" w:rsidP="00691FDD">
            <w:pPr>
              <w:spacing w:after="100"/>
              <w:rPr>
                <w:sz w:val="19"/>
                <w:szCs w:val="19"/>
              </w:rPr>
            </w:pPr>
            <w:r w:rsidRPr="00C2761C">
              <w:rPr>
                <w:sz w:val="19"/>
                <w:szCs w:val="19"/>
              </w:rPr>
              <w:t xml:space="preserve">Zlúčiť súčasné písmená b) a c) ods. 1 do jedného súvislého odseku, keďže ide o vecne a odborne úzko súvisiace okruhy programov, ktorých oddelenie bude vytvárať výkladové spory, lebo akreditované subjekty budú musieť pracovať často s oboma súčasne. </w:t>
            </w:r>
          </w:p>
          <w:p w14:paraId="031E417B" w14:textId="77777777" w:rsidR="00691FDD" w:rsidRPr="00C2761C" w:rsidRDefault="00691FDD" w:rsidP="00691FDD">
            <w:pPr>
              <w:spacing w:after="100"/>
              <w:rPr>
                <w:sz w:val="19"/>
                <w:szCs w:val="19"/>
              </w:rPr>
            </w:pPr>
            <w:r w:rsidRPr="00C2761C">
              <w:rPr>
                <w:sz w:val="19"/>
                <w:szCs w:val="19"/>
              </w:rPr>
              <w:t>Doplniť nový ods. 2: Dotáciu možno poskytnúť po splnení podmienok podľa osobitného predpisu žiadateľovi, ktorým je akreditovaný subjekt, a ak ide o dotáciu na realizáciu intervenčného opatrenia podľa odseku 1, aj fyzickej osobe oprávnenej na výkon psychologickej činnosti podľa osobitného predpisu⁠) alebo fyzickej osobe oprávnenej na poskytovanie zdravotnej starostlivosti v odbore klinická psychológia, psychiatria alebo detská psychiatria podľa osobitného predpisu), a to aj vtedy, ak táto osoba nie je akreditovaným subjektom.“</w:t>
            </w:r>
          </w:p>
          <w:p w14:paraId="3AC2BBB7" w14:textId="77777777" w:rsidR="00691FDD" w:rsidRPr="00C2761C" w:rsidRDefault="00691FDD" w:rsidP="00691FDD">
            <w:pPr>
              <w:spacing w:after="100"/>
              <w:rPr>
                <w:sz w:val="19"/>
                <w:szCs w:val="19"/>
              </w:rPr>
            </w:pPr>
            <w:r w:rsidRPr="00C2761C">
              <w:rPr>
                <w:sz w:val="19"/>
                <w:szCs w:val="19"/>
              </w:rPr>
              <w:t>„(3) Finančné prostriedky na realizáciu intervenčného opatrenia podľa odseku 1 vykonávaného fyzickou osobou podľa odseku 2 sa neposkytujú na základe výzvy podľa odseku 4, ale formou náhrady preukázateľne vynaložených nákladov (ďalej len „refundácia“), a to výlučne na základe písomného poverenia vydaného regionálnym koordinátorom alebo koordinačnou skupinou v rámci plánu preventívnych opatrení a intervenčných opatrení pre konkrétne dieťa alebo mládežníka. Bez tohto poverenia nemožno žiadosť o refundáciu podľa tohto odseku podať.“</w:t>
            </w:r>
          </w:p>
          <w:p w14:paraId="5BA81F84" w14:textId="77777777" w:rsidR="00691FDD" w:rsidRPr="00C2761C" w:rsidRDefault="00691FDD" w:rsidP="00691FDD">
            <w:pPr>
              <w:spacing w:after="100"/>
              <w:rPr>
                <w:sz w:val="19"/>
                <w:szCs w:val="19"/>
              </w:rPr>
            </w:pPr>
            <w:r w:rsidRPr="00C2761C">
              <w:rPr>
                <w:sz w:val="19"/>
                <w:szCs w:val="19"/>
              </w:rPr>
              <w:lastRenderedPageBreak/>
              <w:t>Doplnenie náležitostí žiadosti o refundáciu:</w:t>
            </w:r>
          </w:p>
          <w:p w14:paraId="5BCDF919" w14:textId="77777777" w:rsidR="00691FDD" w:rsidRPr="00C2761C" w:rsidRDefault="00691FDD" w:rsidP="00691FDD">
            <w:pPr>
              <w:spacing w:after="100"/>
              <w:rPr>
                <w:sz w:val="19"/>
                <w:szCs w:val="19"/>
              </w:rPr>
            </w:pPr>
            <w:r w:rsidRPr="00C2761C">
              <w:rPr>
                <w:sz w:val="19"/>
                <w:szCs w:val="19"/>
              </w:rPr>
              <w:t>„Žiadosť o refundáciu podľa odseku 3 obsahuje aj kópiu poverenia podľa odseku 3, vyúčtovanie vykonaných úkonov a ich súlad s plánom preventívnych opatrení a intervenčných opatrení, ktorého sa poverenie týka.“</w:t>
            </w:r>
          </w:p>
          <w:p w14:paraId="07DA0E60" w14:textId="77777777" w:rsidR="00691FDD" w:rsidRPr="00C2761C" w:rsidRDefault="00691FDD" w:rsidP="00691FDD">
            <w:pPr>
              <w:spacing w:after="100"/>
            </w:pPr>
            <w:r w:rsidRPr="00C2761C">
              <w:rPr>
                <w:sz w:val="19"/>
                <w:szCs w:val="19"/>
              </w:rPr>
              <w:t xml:space="preserve">Doplniť samostatný odsek: pri vykonávaní programu v škole alebo školskom zariadení akreditovaný subjekt postupuje v spolupráci so systémom poradenstva a prevencie a podľa štandardov odborných činností (§ 131 školského zákona); výkon podlieha kontrole Štátnej školskej inšpekcie v súčinnosti s </w:t>
            </w:r>
            <w:proofErr w:type="spellStart"/>
            <w:r w:rsidRPr="00C2761C">
              <w:rPr>
                <w:sz w:val="19"/>
                <w:szCs w:val="19"/>
              </w:rPr>
              <w:t>VUDPaPom</w:t>
            </w:r>
            <w:proofErr w:type="spellEnd"/>
            <w:r w:rsidRPr="00C2761C">
              <w:rPr>
                <w:sz w:val="19"/>
                <w:szCs w:val="19"/>
              </w:rPr>
              <w:t>.</w:t>
            </w:r>
          </w:p>
          <w:p w14:paraId="536627A1" w14:textId="77777777" w:rsidR="00691FDD" w:rsidRPr="00C2761C" w:rsidRDefault="00691FDD" w:rsidP="00691FDD">
            <w:pPr>
              <w:spacing w:after="100"/>
            </w:pPr>
            <w:r w:rsidRPr="00C2761C">
              <w:rPr>
                <w:sz w:val="19"/>
                <w:szCs w:val="19"/>
              </w:rPr>
              <w:t>Porušenie tejto povinnosti doplniť medzi povinnosti akreditovaného subjektu (spolupráca so systémom poradenstva a prevencie) a medzi dôvody na začatie konania o zrušení/odňatí akreditácie.</w:t>
            </w:r>
          </w:p>
          <w:p w14:paraId="110B3285" w14:textId="77777777" w:rsidR="00691FDD" w:rsidRPr="00C2761C" w:rsidRDefault="00691FDD" w:rsidP="00691FDD">
            <w:pPr>
              <w:spacing w:after="60"/>
            </w:pPr>
            <w:r w:rsidRPr="00C2761C">
              <w:rPr>
                <w:b/>
                <w:bCs/>
                <w:sz w:val="19"/>
                <w:szCs w:val="19"/>
              </w:rPr>
              <w:t>Odôvodnenie:</w:t>
            </w:r>
          </w:p>
          <w:p w14:paraId="759DC26C" w14:textId="77777777" w:rsidR="00691FDD" w:rsidRPr="00C2761C" w:rsidRDefault="00691FDD" w:rsidP="00691FDD">
            <w:pPr>
              <w:spacing w:after="100"/>
              <w:rPr>
                <w:sz w:val="19"/>
                <w:szCs w:val="19"/>
              </w:rPr>
            </w:pPr>
            <w:r w:rsidRPr="00C2761C">
              <w:rPr>
                <w:sz w:val="19"/>
                <w:szCs w:val="19"/>
              </w:rPr>
              <w:t xml:space="preserve">Bez väzby na zákon č. 292/2024 Z. z. by sa za „vzdelávací program“ mohlo považovať prakticky akékoľvek vzdelávanie bez väzby na existujúci systém overovania kvality. Financovanie cez </w:t>
            </w:r>
            <w:proofErr w:type="spellStart"/>
            <w:r w:rsidRPr="00C2761C">
              <w:rPr>
                <w:sz w:val="19"/>
                <w:szCs w:val="19"/>
              </w:rPr>
              <w:t>EŠIF</w:t>
            </w:r>
            <w:proofErr w:type="spellEnd"/>
            <w:r w:rsidRPr="00C2761C">
              <w:rPr>
                <w:sz w:val="19"/>
                <w:szCs w:val="19"/>
              </w:rPr>
              <w:t xml:space="preserve"> môže byť už následne veľký problém kvôli kontrole kvality a legislatívnom ukotvení </w:t>
            </w:r>
            <w:proofErr w:type="spellStart"/>
            <w:r w:rsidRPr="00C2761C">
              <w:rPr>
                <w:sz w:val="19"/>
                <w:szCs w:val="19"/>
              </w:rPr>
              <w:t>CVŽ</w:t>
            </w:r>
            <w:proofErr w:type="spellEnd"/>
            <w:r w:rsidRPr="00C2761C">
              <w:rPr>
                <w:sz w:val="19"/>
                <w:szCs w:val="19"/>
              </w:rPr>
              <w:t>, ktorý sa tiež financuje z </w:t>
            </w:r>
            <w:proofErr w:type="spellStart"/>
            <w:r w:rsidRPr="00C2761C">
              <w:rPr>
                <w:sz w:val="19"/>
                <w:szCs w:val="19"/>
              </w:rPr>
              <w:t>EŠIF</w:t>
            </w:r>
            <w:proofErr w:type="spellEnd"/>
            <w:r w:rsidRPr="00C2761C">
              <w:rPr>
                <w:sz w:val="19"/>
                <w:szCs w:val="19"/>
              </w:rPr>
              <w:t>.</w:t>
            </w:r>
          </w:p>
          <w:p w14:paraId="4038AC96" w14:textId="77777777" w:rsidR="00691FDD" w:rsidRPr="00C2761C" w:rsidRDefault="00691FDD" w:rsidP="00691FDD">
            <w:pPr>
              <w:spacing w:after="100"/>
              <w:rPr>
                <w:sz w:val="19"/>
                <w:szCs w:val="19"/>
              </w:rPr>
            </w:pPr>
            <w:r w:rsidRPr="00C2761C">
              <w:rPr>
                <w:sz w:val="19"/>
                <w:szCs w:val="19"/>
              </w:rPr>
              <w:t xml:space="preserve">Terajšie členenie na tri písmená rozdeľuje vecne kontinuálny proces práce s dieťaťom do umelo oddelených kategórií, čo v akreditačnom konaní môže viesť k sporom o zaradenie programu. </w:t>
            </w:r>
          </w:p>
          <w:p w14:paraId="5941BA00" w14:textId="77777777" w:rsidR="00691FDD" w:rsidRPr="00C2761C" w:rsidRDefault="00691FDD" w:rsidP="00691FDD">
            <w:pPr>
              <w:spacing w:after="100"/>
              <w:jc w:val="both"/>
              <w:rPr>
                <w:sz w:val="19"/>
                <w:szCs w:val="19"/>
              </w:rPr>
            </w:pPr>
            <w:r w:rsidRPr="00C2761C">
              <w:rPr>
                <w:sz w:val="19"/>
                <w:szCs w:val="19"/>
              </w:rPr>
              <w:t>Súčasné znenie § 14 viaže dotáciu výlučne na programy podľa § 12 ods. 1 a žiadateľom môže byť len akreditovaný subjekt ako právnická osoba. V praxi však účinnú intervenciu u dieťaťa alebo mládežníka v riziku často nezabezpečuje organizácia, ale konkrétny odborník zväčša psychoterapeut, najmä v regiónoch, kde akreditovaný subjekt nepôsobí alebo nemá kapacitu. Bez možnosti financovať túto individuálnu odbornú činnosť priamo hrozí, že plán intervenčných opatrení ostane nenaplnený z čisto administratívnych dôvodov alebo najmä z neschopnosti rodiny platiť takúto odbornú starostlivosť. Navrhované doplnenie vychádza z overeného modelu zákona č. 305/2005 Z. z. (§ 88), ktorý umožňuje poskytnutie finančného príspevku nielen akreditovanému subjektu, ale aj fyzickej osobe. Rozšírenie okruhu žiadateľov je súčasne viazané na preukázateľné odborné oprávnenie (zákon č. 242/2025 Z. z. o psychologickej činnosti), čím sa zachováva rovnaká záruka odbornej kvality ako pri akreditovanom subjekte, bez zbytočnej administratívnej záťaže akreditačným konaním, ktoré je koncipované pre inštitucionálne poskytovanie programov, nie pre individuálnu klinickú či terapeutickú prax. Väčšina klientov si takéto služby nemôžu dovoliť, lebo nemajú na to financie. Zároveň je zjavné, že systém dotácii bude financovaný z </w:t>
            </w:r>
            <w:proofErr w:type="spellStart"/>
            <w:r w:rsidRPr="00C2761C">
              <w:rPr>
                <w:sz w:val="19"/>
                <w:szCs w:val="19"/>
              </w:rPr>
              <w:t>EŠIF</w:t>
            </w:r>
            <w:proofErr w:type="spellEnd"/>
            <w:r w:rsidRPr="00C2761C">
              <w:rPr>
                <w:sz w:val="19"/>
                <w:szCs w:val="19"/>
              </w:rPr>
              <w:t>, kde bude určite požiadavka, aby budúci národný projekt zabezpečoval podporu komplexne, prepojene s existujúcimi službami, nevytváral nové kapacity, ak už existujú v </w:t>
            </w:r>
            <w:proofErr w:type="spellStart"/>
            <w:r w:rsidRPr="00C2761C">
              <w:rPr>
                <w:sz w:val="19"/>
                <w:szCs w:val="19"/>
              </w:rPr>
              <w:t>MVO</w:t>
            </w:r>
            <w:proofErr w:type="spellEnd"/>
            <w:r w:rsidRPr="00C2761C">
              <w:rPr>
                <w:sz w:val="19"/>
                <w:szCs w:val="19"/>
              </w:rPr>
              <w:t xml:space="preserve"> alebo klinickej či odbornej praxe. Tých odborníkov v regiónoch, ktorí chcú robiť s takýmto typom detí a mladých je ako </w:t>
            </w:r>
            <w:proofErr w:type="spellStart"/>
            <w:r w:rsidRPr="00C2761C">
              <w:rPr>
                <w:sz w:val="19"/>
                <w:szCs w:val="19"/>
              </w:rPr>
              <w:t>šafránu</w:t>
            </w:r>
            <w:proofErr w:type="spellEnd"/>
            <w:r w:rsidRPr="00C2761C">
              <w:rPr>
                <w:sz w:val="19"/>
                <w:szCs w:val="19"/>
              </w:rPr>
              <w:t xml:space="preserve">, nečakajme, že si všetci založia aktívne organizácie. Otázkou tiež je, či systém financovania v tomto prípade najmä kvôli duplicitám s inými zdrojmi na to všeobecne určenými (v školstve, zdravotníctve) nemali fungovať refundačne a vždy len na základe poverenia z regionálnej rady/koordinátora alebo koordinačnej skupiny. Ak sa bude písať národný projekt, bude dôležité, aby na to existoval právny základ financovania. Zároveň si treba uvedomiť, že sme v štádiu, kedy táto služba je natoľko nedostupná, že štát musí robiť nábor takýchto odborníkov a hľadať ich kde sa len dá a motivovať ich aj finančne, aby do toho išli. Samozrejme aj s paušálom na povinnú supervíziu. </w:t>
            </w:r>
          </w:p>
          <w:p w14:paraId="3F1C52D1" w14:textId="49898517" w:rsidR="00691FDD" w:rsidRPr="00C2761C" w:rsidRDefault="00691FDD" w:rsidP="00691FDD">
            <w:pPr>
              <w:spacing w:after="100"/>
            </w:pPr>
            <w:r w:rsidRPr="00C2761C">
              <w:rPr>
                <w:sz w:val="19"/>
                <w:szCs w:val="19"/>
              </w:rPr>
              <w:t xml:space="preserve">Pri výkone v školskom prostredí je nevyhnutné zabrániť pôsobeniu akreditovaného subjektu mimo kontroly a mimo štandardov systému poradenstva a prevencie; sankčný dôsledok (odňatie akreditácie) je predpokladom vymáhateľnosti tejto povinnosti. Nedávny okrúhly stôl na Výbore pre primárnu prevenciu pri Rade vlády pre duševné zdravie prijal nadrezortné a expertné závery o opakujúcich sa problémoch tohto charakteru a závažnosti problémov s tým spojenými. Zástupca ministerstva školstva upozornil, že zatiaľ nie je zákonné obmedzenie pre </w:t>
            </w:r>
            <w:proofErr w:type="spellStart"/>
            <w:r w:rsidRPr="00C2761C">
              <w:rPr>
                <w:sz w:val="19"/>
                <w:szCs w:val="19"/>
              </w:rPr>
              <w:t>MVO</w:t>
            </w:r>
            <w:proofErr w:type="spellEnd"/>
            <w:r w:rsidRPr="00C2761C">
              <w:rPr>
                <w:sz w:val="19"/>
                <w:szCs w:val="19"/>
              </w:rPr>
              <w:t xml:space="preserve">, ale že to musí urobiť právny predpis. </w:t>
            </w:r>
          </w:p>
        </w:tc>
      </w:tr>
      <w:tr w:rsidR="00691FDD" w:rsidRPr="00C2761C" w14:paraId="3F1C52DC" w14:textId="77777777">
        <w:tc>
          <w:tcPr>
            <w:tcW w:w="500" w:type="dxa"/>
            <w:tcMar>
              <w:top w:w="80" w:type="dxa"/>
              <w:left w:w="80" w:type="dxa"/>
              <w:bottom w:w="80" w:type="dxa"/>
              <w:right w:w="80" w:type="dxa"/>
            </w:tcMar>
          </w:tcPr>
          <w:p w14:paraId="3F1C52D3" w14:textId="77777777" w:rsidR="00691FDD" w:rsidRPr="00C2761C" w:rsidRDefault="00691FDD" w:rsidP="00691FDD">
            <w:pPr>
              <w:spacing w:after="100"/>
            </w:pPr>
            <w:r w:rsidRPr="00C2761C">
              <w:rPr>
                <w:b/>
                <w:bCs/>
              </w:rPr>
              <w:lastRenderedPageBreak/>
              <w:t>10</w:t>
            </w:r>
          </w:p>
        </w:tc>
        <w:tc>
          <w:tcPr>
            <w:tcW w:w="2000" w:type="dxa"/>
            <w:tcMar>
              <w:top w:w="80" w:type="dxa"/>
              <w:left w:w="80" w:type="dxa"/>
              <w:bottom w:w="80" w:type="dxa"/>
              <w:right w:w="80" w:type="dxa"/>
            </w:tcMar>
          </w:tcPr>
          <w:p w14:paraId="3F1C52D4" w14:textId="3BC39D32" w:rsidR="00691FDD" w:rsidRPr="00C2761C" w:rsidRDefault="00691FDD" w:rsidP="00691FDD">
            <w:pPr>
              <w:spacing w:after="100"/>
            </w:pPr>
            <w:r w:rsidRPr="00C2761C">
              <w:rPr>
                <w:b/>
                <w:bCs/>
                <w:sz w:val="19"/>
                <w:szCs w:val="19"/>
              </w:rPr>
              <w:t>§ 12 a § 13 (akreditácia a akreditačná komisia)</w:t>
            </w:r>
          </w:p>
        </w:tc>
        <w:tc>
          <w:tcPr>
            <w:tcW w:w="13000" w:type="dxa"/>
            <w:tcMar>
              <w:top w:w="80" w:type="dxa"/>
              <w:left w:w="80" w:type="dxa"/>
              <w:bottom w:w="80" w:type="dxa"/>
              <w:right w:w="80" w:type="dxa"/>
            </w:tcMar>
          </w:tcPr>
          <w:p w14:paraId="5A7258D6" w14:textId="77777777" w:rsidR="00691FDD" w:rsidRPr="00C2761C" w:rsidRDefault="00691FDD" w:rsidP="00691FDD">
            <w:pPr>
              <w:spacing w:after="100"/>
            </w:pPr>
            <w:r w:rsidRPr="00C2761C">
              <w:rPr>
                <w:b/>
                <w:bCs/>
                <w:caps/>
                <w:color w:val="B00000"/>
                <w:sz w:val="19"/>
                <w:szCs w:val="19"/>
              </w:rPr>
              <w:t>ZÁSADNÁ</w:t>
            </w:r>
          </w:p>
          <w:p w14:paraId="6FC6E321" w14:textId="77777777" w:rsidR="00691FDD" w:rsidRPr="00C2761C" w:rsidRDefault="00691FDD" w:rsidP="00691FDD">
            <w:pPr>
              <w:spacing w:after="60"/>
            </w:pPr>
            <w:r w:rsidRPr="00C2761C">
              <w:rPr>
                <w:b/>
                <w:bCs/>
                <w:sz w:val="19"/>
                <w:szCs w:val="19"/>
              </w:rPr>
              <w:t>Návrh zmeny:</w:t>
            </w:r>
          </w:p>
          <w:p w14:paraId="3C045D94" w14:textId="77777777" w:rsidR="00691FDD" w:rsidRPr="00C2761C" w:rsidRDefault="00691FDD" w:rsidP="00691FDD">
            <w:pPr>
              <w:spacing w:after="100"/>
            </w:pPr>
            <w:r w:rsidRPr="00C2761C">
              <w:rPr>
                <w:sz w:val="19"/>
                <w:szCs w:val="19"/>
              </w:rPr>
              <w:t>Doplniť do § 12: „Akreditovaný subjekt vykonáva psychologickú činnosť alebo inú odbornú starostlivosť v rámci programov podľa odseku 1 v rozsahu odbornej spôsobilosti, štandardov a kompetencií svojich zamestnancov vymedzených osobitnými predpismi (zákon č. 242/2025, 448/2008, zákon 245/2008, 138/2019 Z. z.).“</w:t>
            </w:r>
          </w:p>
          <w:p w14:paraId="0E86C285" w14:textId="77777777" w:rsidR="00691FDD" w:rsidRPr="00C2761C" w:rsidRDefault="00691FDD" w:rsidP="00691FDD">
            <w:pPr>
              <w:spacing w:after="100"/>
            </w:pPr>
            <w:r w:rsidRPr="00C2761C">
              <w:rPr>
                <w:sz w:val="19"/>
                <w:szCs w:val="19"/>
              </w:rPr>
              <w:t>Doplniť do § 13 ods. 2, že členom akreditačnej komisie je aj osoba nominovaná Slovenskou komorou psychológov (príp. do dôvodovej správy).</w:t>
            </w:r>
          </w:p>
          <w:p w14:paraId="62E1344B" w14:textId="77777777" w:rsidR="00691FDD" w:rsidRPr="00C2761C" w:rsidRDefault="00691FDD" w:rsidP="00691FDD">
            <w:pPr>
              <w:spacing w:after="100"/>
            </w:pPr>
            <w:r w:rsidRPr="00C2761C">
              <w:rPr>
                <w:sz w:val="19"/>
                <w:szCs w:val="19"/>
              </w:rPr>
              <w:t>Doplniť medzi dôvody na zrušenie, resp. odňatie akreditácie prekročenie rozsahu odbornej spôsobilosti podľa prvého bodu.</w:t>
            </w:r>
          </w:p>
          <w:p w14:paraId="74A00220" w14:textId="77777777" w:rsidR="00691FDD" w:rsidRPr="00C2761C" w:rsidRDefault="00691FDD" w:rsidP="00691FDD">
            <w:pPr>
              <w:spacing w:after="60"/>
            </w:pPr>
            <w:r w:rsidRPr="00C2761C">
              <w:rPr>
                <w:b/>
                <w:bCs/>
                <w:sz w:val="19"/>
                <w:szCs w:val="19"/>
              </w:rPr>
              <w:t>Odôvodnenie:</w:t>
            </w:r>
          </w:p>
          <w:p w14:paraId="397E8082" w14:textId="77777777" w:rsidR="00691FDD" w:rsidRPr="00C2761C" w:rsidRDefault="00691FDD" w:rsidP="00691FDD">
            <w:pPr>
              <w:spacing w:after="100"/>
            </w:pPr>
            <w:r w:rsidRPr="00C2761C">
              <w:rPr>
                <w:sz w:val="19"/>
                <w:szCs w:val="19"/>
              </w:rPr>
              <w:lastRenderedPageBreak/>
              <w:t>V praxi sa vyskytujú prípady, keď si organizácie pôsobiace v oblasti prevencie a intervencie osvojujú postupy presahujúce ich odbornú kvalifikáciu (napr. psychoterapeutické alebo diagnostické zásahy vykonávané osobami bez príslušnej odbornej spôsobilosti alebo právneho ukotvenia), pričom návrh zákona ani vykonávacia vyhláška (§ 4 vyhlášky) nevyžadujú vecné overenie tohto rozsahu žiadnym odborným, na psychologickú činnosť špecializovaným subjektom.</w:t>
            </w:r>
          </w:p>
          <w:p w14:paraId="3F1C52DB" w14:textId="4514D0DF" w:rsidR="00691FDD" w:rsidRPr="00C2761C" w:rsidRDefault="00691FDD" w:rsidP="00691FDD">
            <w:pPr>
              <w:spacing w:after="100"/>
            </w:pPr>
            <w:r w:rsidRPr="00C2761C">
              <w:rPr>
                <w:sz w:val="19"/>
                <w:szCs w:val="19"/>
              </w:rPr>
              <w:t>Výslovné vymedzenie hranice odbornej spôsobilosti, zapojenie Slovenskej komory psychológov do akreditačného procesu a sankcia v podobe odňatia akreditácie vytvárajú vymáhateľnú poistku proti neodbornému alebo kompetencie prekračujúcemu výkonu činností u detí a mládežníkov, ktorých najlepší záujem má byť podľa § 4 základným princípom celého systému.</w:t>
            </w:r>
          </w:p>
        </w:tc>
      </w:tr>
      <w:tr w:rsidR="00691FDD" w:rsidRPr="00C2761C" w14:paraId="3F1C52E4" w14:textId="77777777">
        <w:tc>
          <w:tcPr>
            <w:tcW w:w="500" w:type="dxa"/>
            <w:tcMar>
              <w:top w:w="80" w:type="dxa"/>
              <w:left w:w="80" w:type="dxa"/>
              <w:bottom w:w="80" w:type="dxa"/>
              <w:right w:w="80" w:type="dxa"/>
            </w:tcMar>
          </w:tcPr>
          <w:p w14:paraId="3F1C52DD" w14:textId="77777777" w:rsidR="00691FDD" w:rsidRPr="00C2761C" w:rsidRDefault="00691FDD" w:rsidP="00691FDD">
            <w:pPr>
              <w:spacing w:after="100"/>
            </w:pPr>
            <w:r w:rsidRPr="00C2761C">
              <w:rPr>
                <w:b/>
                <w:bCs/>
              </w:rPr>
              <w:lastRenderedPageBreak/>
              <w:t>11</w:t>
            </w:r>
          </w:p>
        </w:tc>
        <w:tc>
          <w:tcPr>
            <w:tcW w:w="2000" w:type="dxa"/>
            <w:tcMar>
              <w:top w:w="80" w:type="dxa"/>
              <w:left w:w="80" w:type="dxa"/>
              <w:bottom w:w="80" w:type="dxa"/>
              <w:right w:w="80" w:type="dxa"/>
            </w:tcMar>
          </w:tcPr>
          <w:p w14:paraId="3F1C52DE" w14:textId="4A9DC617" w:rsidR="00691FDD" w:rsidRPr="00C2761C" w:rsidRDefault="00691FDD" w:rsidP="00691FDD">
            <w:pPr>
              <w:spacing w:after="100"/>
            </w:pPr>
            <w:r w:rsidRPr="00C2761C">
              <w:rPr>
                <w:b/>
                <w:bCs/>
                <w:sz w:val="19"/>
                <w:szCs w:val="19"/>
              </w:rPr>
              <w:t>§ 13 (akreditované subjekty)</w:t>
            </w:r>
          </w:p>
        </w:tc>
        <w:tc>
          <w:tcPr>
            <w:tcW w:w="13000" w:type="dxa"/>
            <w:tcMar>
              <w:top w:w="80" w:type="dxa"/>
              <w:left w:w="80" w:type="dxa"/>
              <w:bottom w:w="80" w:type="dxa"/>
              <w:right w:w="80" w:type="dxa"/>
            </w:tcMar>
          </w:tcPr>
          <w:p w14:paraId="21C53A59" w14:textId="77777777" w:rsidR="00691FDD" w:rsidRPr="00C2761C" w:rsidRDefault="00691FDD" w:rsidP="00691FDD">
            <w:pPr>
              <w:spacing w:after="100"/>
            </w:pPr>
            <w:r w:rsidRPr="00C2761C">
              <w:rPr>
                <w:b/>
                <w:bCs/>
                <w:caps/>
                <w:color w:val="B00000"/>
                <w:sz w:val="19"/>
                <w:szCs w:val="19"/>
              </w:rPr>
              <w:t>ZÁSADNÁ</w:t>
            </w:r>
          </w:p>
          <w:p w14:paraId="265C2194" w14:textId="77777777" w:rsidR="00691FDD" w:rsidRPr="00C2761C" w:rsidRDefault="00691FDD" w:rsidP="00691FDD">
            <w:pPr>
              <w:spacing w:after="60"/>
            </w:pPr>
            <w:r w:rsidRPr="00C2761C">
              <w:rPr>
                <w:b/>
                <w:bCs/>
                <w:sz w:val="19"/>
                <w:szCs w:val="19"/>
              </w:rPr>
              <w:t>Návrh zmeny:</w:t>
            </w:r>
          </w:p>
          <w:p w14:paraId="3780FBEA" w14:textId="77777777" w:rsidR="00691FDD" w:rsidRPr="00C2761C" w:rsidRDefault="00691FDD" w:rsidP="00691FDD">
            <w:pPr>
              <w:spacing w:after="100"/>
            </w:pPr>
            <w:r w:rsidRPr="00C2761C">
              <w:rPr>
                <w:sz w:val="19"/>
                <w:szCs w:val="19"/>
              </w:rPr>
              <w:t>Doplniť odsek: „Za akreditovaný subjekt sa považuje aj zariadenie poradenstva a prevencie podľa osobitného predpisu (§ 130 ods. 1 a 4 zákona č. 245/2008 Z. z.) určené ministrom školstva, ktoré zabezpečuje plnenie úloh podľa tohto zákona vo vzťahu k žiakovi a organizácia zriadená ministerstvom školstva na plnenie úloh v oblasti v oblasti poradenstva a prevencie, úrad prevencie kriminality a </w:t>
            </w:r>
            <w:proofErr w:type="spellStart"/>
            <w:r w:rsidRPr="00C2761C">
              <w:rPr>
                <w:sz w:val="19"/>
                <w:szCs w:val="19"/>
              </w:rPr>
              <w:t>NKS</w:t>
            </w:r>
            <w:proofErr w:type="spellEnd"/>
            <w:r w:rsidRPr="00C2761C">
              <w:rPr>
                <w:sz w:val="19"/>
                <w:szCs w:val="19"/>
              </w:rPr>
              <w:t>.“</w:t>
            </w:r>
          </w:p>
          <w:p w14:paraId="6A4D0EFB" w14:textId="77777777" w:rsidR="00691FDD" w:rsidRPr="00C2761C" w:rsidRDefault="00691FDD" w:rsidP="00691FDD">
            <w:pPr>
              <w:spacing w:after="100"/>
            </w:pPr>
            <w:r w:rsidRPr="00C2761C">
              <w:rPr>
                <w:sz w:val="19"/>
                <w:szCs w:val="19"/>
              </w:rPr>
              <w:t>Doplniť: právnická osoba, ktorá nie je zariadením poradenstva a prevencie, musí byť súčasne certifikovanou vzdelávacou inštitúciou podľa § 13 zákona č. 292/2024 Z. z. o vzdelávaní dospelých.</w:t>
            </w:r>
          </w:p>
          <w:p w14:paraId="29449E42" w14:textId="77777777" w:rsidR="00691FDD" w:rsidRPr="00C2761C" w:rsidRDefault="00691FDD" w:rsidP="00691FDD">
            <w:pPr>
              <w:spacing w:after="100"/>
            </w:pPr>
            <w:r w:rsidRPr="00C2761C">
              <w:rPr>
                <w:sz w:val="19"/>
                <w:szCs w:val="19"/>
              </w:rPr>
              <w:t>Doplniť, že akreditovaný subjekt pri výkone činností primerane dodržiava výkonové a obsahové štandardy výchovného poradenstva (§ 131 a § 133 školského zákona), najmä krízovej intervencie, koordinácie multidisciplinárneho tímu a prevencie rizikového správania.</w:t>
            </w:r>
          </w:p>
          <w:p w14:paraId="4878131B" w14:textId="77777777" w:rsidR="00691FDD" w:rsidRPr="00C2761C" w:rsidRDefault="00691FDD" w:rsidP="00691FDD">
            <w:pPr>
              <w:spacing w:after="60"/>
            </w:pPr>
            <w:r w:rsidRPr="00C2761C">
              <w:rPr>
                <w:b/>
                <w:bCs/>
                <w:sz w:val="19"/>
                <w:szCs w:val="19"/>
              </w:rPr>
              <w:t>Odôvodnenie:</w:t>
            </w:r>
          </w:p>
          <w:p w14:paraId="4181D770" w14:textId="77777777" w:rsidR="00691FDD" w:rsidRPr="00C2761C" w:rsidRDefault="00691FDD" w:rsidP="00691FDD">
            <w:pPr>
              <w:spacing w:after="100"/>
            </w:pPr>
            <w:r w:rsidRPr="00C2761C">
              <w:rPr>
                <w:sz w:val="19"/>
                <w:szCs w:val="19"/>
              </w:rPr>
              <w:t xml:space="preserve">Na stretnutí 2. 7. 2026 sa dosiahla zhoda, že aspoň niektoré CPP majú byť akreditovanými subjektmi; túto časť odporúčame doplniť o ďalšie dva kľúčové odborné subjekty – </w:t>
            </w:r>
            <w:proofErr w:type="spellStart"/>
            <w:r w:rsidRPr="00C2761C">
              <w:rPr>
                <w:sz w:val="19"/>
                <w:szCs w:val="19"/>
              </w:rPr>
              <w:t>VUDPaP</w:t>
            </w:r>
            <w:proofErr w:type="spellEnd"/>
            <w:r w:rsidRPr="00C2761C">
              <w:rPr>
                <w:sz w:val="19"/>
                <w:szCs w:val="19"/>
              </w:rPr>
              <w:t>, úrad prevencie kriminality a </w:t>
            </w:r>
            <w:proofErr w:type="spellStart"/>
            <w:r w:rsidRPr="00C2761C">
              <w:rPr>
                <w:sz w:val="19"/>
                <w:szCs w:val="19"/>
              </w:rPr>
              <w:t>NKS</w:t>
            </w:r>
            <w:proofErr w:type="spellEnd"/>
            <w:r w:rsidRPr="00C2761C">
              <w:rPr>
                <w:sz w:val="19"/>
                <w:szCs w:val="19"/>
              </w:rPr>
              <w:t xml:space="preserve">, ktoré túto tému odborne zastrešujú a majú čo odborne ponúknuť v téme a programoch, najmä vzdelávaní. Všetky sú napojené a aj budú na </w:t>
            </w:r>
            <w:proofErr w:type="spellStart"/>
            <w:r w:rsidRPr="00C2761C">
              <w:rPr>
                <w:sz w:val="19"/>
                <w:szCs w:val="19"/>
              </w:rPr>
              <w:t>EŠIF</w:t>
            </w:r>
            <w:proofErr w:type="spellEnd"/>
            <w:r w:rsidRPr="00C2761C">
              <w:rPr>
                <w:sz w:val="19"/>
                <w:szCs w:val="19"/>
              </w:rPr>
              <w:t xml:space="preserve">, týmto získajú vyššiu legitimitu na činnosť a možnosť financovania, nakoľko táto téma rozhodne patrí a bude patriť svojím obsahom do financovania cez </w:t>
            </w:r>
            <w:proofErr w:type="spellStart"/>
            <w:r w:rsidRPr="00C2761C">
              <w:rPr>
                <w:sz w:val="19"/>
                <w:szCs w:val="19"/>
              </w:rPr>
              <w:t>EŠIF</w:t>
            </w:r>
            <w:proofErr w:type="spellEnd"/>
            <w:r w:rsidRPr="00C2761C">
              <w:rPr>
                <w:sz w:val="19"/>
                <w:szCs w:val="19"/>
              </w:rPr>
              <w:t xml:space="preserve"> – ide o špecifickú tému zasahujúcu najzraniteľnejšie ohrozené skupiny (deti a mladí v riziku). </w:t>
            </w:r>
          </w:p>
          <w:p w14:paraId="2D32BB5B" w14:textId="77777777" w:rsidR="00691FDD" w:rsidRPr="00C2761C" w:rsidRDefault="00691FDD" w:rsidP="00691FDD">
            <w:pPr>
              <w:spacing w:after="100"/>
            </w:pPr>
            <w:r w:rsidRPr="00C2761C">
              <w:rPr>
                <w:sz w:val="19"/>
                <w:szCs w:val="19"/>
              </w:rPr>
              <w:t>Ostatné neštátne subjekty by mali podliehať prísnejšiemu vstupnému štandardu, keďže vyhláška dnes stanovuje len všeobecné kritérium trojročnej odbornej činnosti (§ 4 vyhlášky) bez väzby na existujúci systém overovania kvality vzdelávacích poskytovateľov.</w:t>
            </w:r>
          </w:p>
          <w:p w14:paraId="3F1C52E3" w14:textId="0E4A5978" w:rsidR="00691FDD" w:rsidRPr="00C2761C" w:rsidRDefault="00691FDD" w:rsidP="00691FDD">
            <w:pPr>
              <w:spacing w:after="100"/>
            </w:pPr>
            <w:r w:rsidRPr="00C2761C">
              <w:rPr>
                <w:sz w:val="19"/>
                <w:szCs w:val="19"/>
              </w:rPr>
              <w:t>Zjednotenie odborných štandardov zabezpečí rovnakú úroveň starostlivosti bez ohľadu na to, ktorý akreditovaný subjekt prevenciu alebo intervenciu vykonáva.</w:t>
            </w:r>
          </w:p>
        </w:tc>
      </w:tr>
      <w:tr w:rsidR="00691FDD" w:rsidRPr="00C2761C" w14:paraId="3F1C52F1" w14:textId="77777777">
        <w:tc>
          <w:tcPr>
            <w:tcW w:w="500" w:type="dxa"/>
            <w:tcMar>
              <w:top w:w="80" w:type="dxa"/>
              <w:left w:w="80" w:type="dxa"/>
              <w:bottom w:w="80" w:type="dxa"/>
              <w:right w:w="80" w:type="dxa"/>
            </w:tcMar>
          </w:tcPr>
          <w:p w14:paraId="3F1C52E5" w14:textId="77777777" w:rsidR="00691FDD" w:rsidRPr="00C2761C" w:rsidRDefault="00691FDD" w:rsidP="00691FDD">
            <w:pPr>
              <w:spacing w:after="100"/>
            </w:pPr>
            <w:r w:rsidRPr="00C2761C">
              <w:rPr>
                <w:b/>
                <w:bCs/>
              </w:rPr>
              <w:t>12</w:t>
            </w:r>
          </w:p>
        </w:tc>
        <w:tc>
          <w:tcPr>
            <w:tcW w:w="2000" w:type="dxa"/>
            <w:tcMar>
              <w:top w:w="80" w:type="dxa"/>
              <w:left w:w="80" w:type="dxa"/>
              <w:bottom w:w="80" w:type="dxa"/>
              <w:right w:w="80" w:type="dxa"/>
            </w:tcMar>
          </w:tcPr>
          <w:p w14:paraId="3F1C52E6" w14:textId="5557080A" w:rsidR="00691FDD" w:rsidRPr="00C2761C" w:rsidRDefault="00691FDD" w:rsidP="00691FDD">
            <w:pPr>
              <w:spacing w:after="100"/>
            </w:pPr>
            <w:r w:rsidRPr="00C2761C">
              <w:rPr>
                <w:b/>
                <w:bCs/>
                <w:sz w:val="19"/>
                <w:szCs w:val="19"/>
              </w:rPr>
              <w:t>§ 14 (dotácie/financovanie, akreditačná komisia)</w:t>
            </w:r>
          </w:p>
        </w:tc>
        <w:tc>
          <w:tcPr>
            <w:tcW w:w="13000" w:type="dxa"/>
            <w:tcMar>
              <w:top w:w="80" w:type="dxa"/>
              <w:left w:w="80" w:type="dxa"/>
              <w:bottom w:w="80" w:type="dxa"/>
              <w:right w:w="80" w:type="dxa"/>
            </w:tcMar>
          </w:tcPr>
          <w:p w14:paraId="06DC515C" w14:textId="77777777" w:rsidR="00691FDD" w:rsidRPr="00C2761C" w:rsidRDefault="00691FDD" w:rsidP="00691FDD">
            <w:pPr>
              <w:spacing w:after="100"/>
            </w:pPr>
            <w:r w:rsidRPr="00C2761C">
              <w:rPr>
                <w:b/>
                <w:bCs/>
                <w:caps/>
                <w:color w:val="B00000"/>
                <w:sz w:val="19"/>
                <w:szCs w:val="19"/>
              </w:rPr>
              <w:t>ZÁSADNÁ</w:t>
            </w:r>
          </w:p>
          <w:p w14:paraId="4D29F536" w14:textId="77777777" w:rsidR="00691FDD" w:rsidRPr="00C2761C" w:rsidRDefault="00691FDD" w:rsidP="00691FDD">
            <w:pPr>
              <w:spacing w:after="60"/>
            </w:pPr>
            <w:r w:rsidRPr="00C2761C">
              <w:rPr>
                <w:b/>
                <w:bCs/>
                <w:sz w:val="19"/>
                <w:szCs w:val="19"/>
              </w:rPr>
              <w:t>Návrh zmeny:</w:t>
            </w:r>
          </w:p>
          <w:p w14:paraId="5DB0FAB2" w14:textId="77777777" w:rsidR="00691FDD" w:rsidRPr="00C2761C" w:rsidRDefault="00691FDD" w:rsidP="00691FDD">
            <w:pPr>
              <w:spacing w:after="100"/>
            </w:pPr>
            <w:r w:rsidRPr="00C2761C">
              <w:t>Doplniť nový odsek: „Zloženie akreditačnej komisie a spôsob nominácie jej členov ustanoví tento zákon. Akreditačná komisia má najmenej sedem členov, z ktorých najmenej jedného nominuje Slovenská komora psychológov, najmenej dvoch nominuje Výskumný ústav detskej psychológie a patopsychológie a najviac troch nominuje ministerstvo školstva. Funkčné obdobie člena akreditačnej komisie je štyri roky. Ministerstvo školstva zverejňuje na svojom webovom sídle zoznam členov akreditačnej komisie, program jej zasadnutí a výsledky rozhodovania o žiadostiach o akreditáciu, s výnimkou údajov chránených osobitným predpisom.“</w:t>
            </w:r>
          </w:p>
          <w:p w14:paraId="698E75F3" w14:textId="77777777" w:rsidR="00691FDD" w:rsidRPr="00C2761C" w:rsidRDefault="00691FDD" w:rsidP="00691FDD">
            <w:pPr>
              <w:spacing w:after="100"/>
            </w:pPr>
            <w:r w:rsidRPr="00C2761C">
              <w:rPr>
                <w:sz w:val="19"/>
                <w:szCs w:val="19"/>
              </w:rPr>
              <w:t>Doplniť úlohy akreditačnej komisie aj na hodnotiacu komisiu posudzujúcu žiadosti o poskytnutie dotácie/príspevku vrátane výslovnej úpravy konfliktu záujmov jej členov (analogicky k akreditačnej komisii podľa vyhlášky, § 4, alebo k etickej komisii podľa zákona č. 576/2004 Z. z.).</w:t>
            </w:r>
          </w:p>
          <w:p w14:paraId="194FCBB6" w14:textId="77777777" w:rsidR="00691FDD" w:rsidRPr="00C2761C" w:rsidRDefault="00691FDD" w:rsidP="00691FDD">
            <w:pPr>
              <w:spacing w:after="60"/>
            </w:pPr>
            <w:r w:rsidRPr="00C2761C">
              <w:rPr>
                <w:b/>
                <w:bCs/>
                <w:sz w:val="19"/>
                <w:szCs w:val="19"/>
              </w:rPr>
              <w:t>Odôvodnenie:</w:t>
            </w:r>
          </w:p>
          <w:p w14:paraId="3F1C52F0" w14:textId="2546D631" w:rsidR="00691FDD" w:rsidRPr="00C2761C" w:rsidRDefault="00691FDD" w:rsidP="00691FDD">
            <w:pPr>
              <w:spacing w:after="100"/>
              <w:jc w:val="both"/>
            </w:pPr>
            <w:r w:rsidRPr="00C2761C">
              <w:rPr>
                <w:sz w:val="19"/>
                <w:szCs w:val="19"/>
              </w:rPr>
              <w:t>Agenda súvisí aj s prostriedkami z fondov EÚ (</w:t>
            </w:r>
            <w:proofErr w:type="spellStart"/>
            <w:r w:rsidRPr="00C2761C">
              <w:rPr>
                <w:sz w:val="19"/>
                <w:szCs w:val="19"/>
              </w:rPr>
              <w:t>ESF</w:t>
            </w:r>
            <w:proofErr w:type="spellEnd"/>
            <w:r w:rsidRPr="00C2761C">
              <w:rPr>
                <w:sz w:val="19"/>
                <w:szCs w:val="19"/>
              </w:rPr>
              <w:t xml:space="preserve">+) a nesie zvýšené riziko kontrol NKÚ, orgánu auditu alebo </w:t>
            </w:r>
            <w:proofErr w:type="spellStart"/>
            <w:r w:rsidRPr="00C2761C">
              <w:rPr>
                <w:sz w:val="19"/>
                <w:szCs w:val="19"/>
              </w:rPr>
              <w:t>OLAF</w:t>
            </w:r>
            <w:proofErr w:type="spellEnd"/>
            <w:r w:rsidRPr="00C2761C">
              <w:rPr>
                <w:sz w:val="19"/>
                <w:szCs w:val="19"/>
              </w:rPr>
              <w:t xml:space="preserve">, nakoľko ministerstvo školstva už roky ignoruje potrebu </w:t>
            </w:r>
            <w:proofErr w:type="spellStart"/>
            <w:r w:rsidRPr="00C2761C">
              <w:rPr>
                <w:sz w:val="19"/>
                <w:szCs w:val="19"/>
              </w:rPr>
              <w:t>stransparentniť</w:t>
            </w:r>
            <w:proofErr w:type="spellEnd"/>
            <w:r w:rsidRPr="00C2761C">
              <w:rPr>
                <w:sz w:val="19"/>
                <w:szCs w:val="19"/>
              </w:rPr>
              <w:t xml:space="preserve"> prideľovanie akreditácii (inovačné vzdelávania) či dotácii (</w:t>
            </w:r>
            <w:proofErr w:type="spellStart"/>
            <w:r w:rsidRPr="00C2761C">
              <w:rPr>
                <w:sz w:val="19"/>
                <w:szCs w:val="19"/>
              </w:rPr>
              <w:t>RCPU</w:t>
            </w:r>
            <w:proofErr w:type="spellEnd"/>
            <w:r w:rsidRPr="00C2761C">
              <w:rPr>
                <w:sz w:val="19"/>
                <w:szCs w:val="19"/>
              </w:rPr>
              <w:t xml:space="preserve">). Nemôžeme v 21. stor. sa tváriť, že jedine ministerstvo školstva si dotácie prideľuje aktom ministra. Máme tu mnohé demokraticky a zákonne vytvorené rady, ktoré plnia funkcie verejnej kontroly a nie sú riadené iba čisto politicky: Rada pre znaleckú, tlmočnícku a prekladateľskú činnosť pri MS SR – zriadená priamo zákonom č. 382/2004 Z. z., so zložením vymedzeným v zákone (zástupcovia rezortu, </w:t>
            </w:r>
            <w:r w:rsidRPr="00C2761C">
              <w:rPr>
                <w:sz w:val="19"/>
                <w:szCs w:val="19"/>
              </w:rPr>
              <w:lastRenderedPageBreak/>
              <w:t xml:space="preserve">profesijných komôr a akademickej obce). Rada Fondu na podporu umenia pri MK SR – zákon č. 284/2014 Z. z. upravuje nomináciu členov odbornou verejnosťou/profesijnými organizáciami, funkčné obdobie a rotáciu. Slovenská akreditačná agentúra pre vysoké školstvo a pod. </w:t>
            </w:r>
          </w:p>
        </w:tc>
      </w:tr>
      <w:tr w:rsidR="00691FDD" w:rsidRPr="00C2761C" w14:paraId="3F2A978F" w14:textId="77777777" w:rsidTr="00D62C7B">
        <w:tc>
          <w:tcPr>
            <w:tcW w:w="500" w:type="dxa"/>
            <w:tcMar>
              <w:top w:w="80" w:type="dxa"/>
              <w:left w:w="80" w:type="dxa"/>
              <w:bottom w:w="80" w:type="dxa"/>
              <w:right w:w="80" w:type="dxa"/>
            </w:tcMar>
          </w:tcPr>
          <w:p w14:paraId="50BEA7E8" w14:textId="6A4F1915" w:rsidR="00691FDD" w:rsidRPr="00C2761C" w:rsidRDefault="00691FDD" w:rsidP="00691FDD">
            <w:pPr>
              <w:spacing w:after="100"/>
            </w:pPr>
            <w:r w:rsidRPr="00C2761C">
              <w:rPr>
                <w:b/>
                <w:bCs/>
              </w:rPr>
              <w:lastRenderedPageBreak/>
              <w:t>13</w:t>
            </w:r>
          </w:p>
        </w:tc>
        <w:tc>
          <w:tcPr>
            <w:tcW w:w="2000" w:type="dxa"/>
            <w:tcMar>
              <w:top w:w="80" w:type="dxa"/>
              <w:left w:w="80" w:type="dxa"/>
              <w:bottom w:w="80" w:type="dxa"/>
              <w:right w:w="80" w:type="dxa"/>
            </w:tcMar>
          </w:tcPr>
          <w:p w14:paraId="3D3C613F" w14:textId="2993DDCF" w:rsidR="00691FDD" w:rsidRPr="00C2761C" w:rsidRDefault="00691FDD" w:rsidP="00691FDD">
            <w:pPr>
              <w:spacing w:after="100"/>
            </w:pPr>
            <w:r w:rsidRPr="00C2761C">
              <w:rPr>
                <w:b/>
                <w:bCs/>
                <w:sz w:val="19"/>
                <w:szCs w:val="19"/>
              </w:rPr>
              <w:t>§ 18 ods. 2 (vydávanie záväznej metodiky ministerstvom školstva)</w:t>
            </w:r>
          </w:p>
        </w:tc>
        <w:tc>
          <w:tcPr>
            <w:tcW w:w="13000" w:type="dxa"/>
            <w:tcMar>
              <w:top w:w="80" w:type="dxa"/>
              <w:left w:w="80" w:type="dxa"/>
              <w:bottom w:w="80" w:type="dxa"/>
              <w:right w:w="80" w:type="dxa"/>
            </w:tcMar>
          </w:tcPr>
          <w:p w14:paraId="28B11708" w14:textId="77777777" w:rsidR="00691FDD" w:rsidRPr="00C2761C" w:rsidRDefault="00691FDD" w:rsidP="00691FDD">
            <w:pPr>
              <w:spacing w:after="100"/>
            </w:pPr>
            <w:r w:rsidRPr="00C2761C">
              <w:rPr>
                <w:b/>
                <w:bCs/>
                <w:caps/>
                <w:color w:val="B00000"/>
                <w:sz w:val="19"/>
                <w:szCs w:val="19"/>
              </w:rPr>
              <w:t>ZÁSADNÁ</w:t>
            </w:r>
          </w:p>
          <w:p w14:paraId="2CCD56AA" w14:textId="77777777" w:rsidR="00691FDD" w:rsidRPr="00C2761C" w:rsidRDefault="00691FDD" w:rsidP="00691FDD">
            <w:pPr>
              <w:spacing w:after="60"/>
            </w:pPr>
            <w:r w:rsidRPr="00C2761C">
              <w:rPr>
                <w:b/>
                <w:bCs/>
                <w:sz w:val="19"/>
                <w:szCs w:val="19"/>
              </w:rPr>
              <w:t>Návrh zmeny:</w:t>
            </w:r>
          </w:p>
          <w:p w14:paraId="5C82798B" w14:textId="77777777" w:rsidR="00691FDD" w:rsidRPr="00C2761C" w:rsidRDefault="00691FDD" w:rsidP="00691FDD">
            <w:pPr>
              <w:spacing w:after="100"/>
            </w:pPr>
            <w:r w:rsidRPr="00C2761C">
              <w:rPr>
                <w:sz w:val="19"/>
                <w:szCs w:val="19"/>
              </w:rPr>
              <w:t>Doplniť, že ministerstvo školstva vydáva záväznú metodiku v spolupráci s organizáciou zriadenou ministerstvom školstva na plnenie úloh v oblasti poradenstva a prevencie, ak ide o časti týkajúce sa detí a žiakov podľa osobitného predpisu (245/2008) a po prerokovaní v Rade vlády pre duševné zdravie a po schválení na rade integrovaného systému.</w:t>
            </w:r>
          </w:p>
          <w:p w14:paraId="147DB5C5" w14:textId="77777777" w:rsidR="00691FDD" w:rsidRPr="00C2761C" w:rsidRDefault="00691FDD" w:rsidP="00691FDD">
            <w:pPr>
              <w:spacing w:after="60"/>
            </w:pPr>
            <w:r w:rsidRPr="00C2761C">
              <w:rPr>
                <w:b/>
                <w:bCs/>
                <w:sz w:val="19"/>
                <w:szCs w:val="19"/>
              </w:rPr>
              <w:t>Odôvodnenie:</w:t>
            </w:r>
          </w:p>
          <w:p w14:paraId="51297998" w14:textId="35B30C1A" w:rsidR="00691FDD" w:rsidRPr="00C2761C" w:rsidRDefault="00691FDD" w:rsidP="00691FDD">
            <w:pPr>
              <w:spacing w:after="100"/>
            </w:pPr>
            <w:r w:rsidRPr="00C2761C">
              <w:rPr>
                <w:sz w:val="19"/>
                <w:szCs w:val="19"/>
              </w:rPr>
              <w:t xml:space="preserve">Metodika bude záväzná pre subjekty integrovaného systému vrátane škôl a zariadení poradenstva a prevencie, zároveň významne zasahuje do klinickej sféry duševného zdravia. Bez súčinnosti s organizáciou, ktorá už dnes vydáva výkonové a obsahové štandardy (§ 133 ods. 2 školského zákona) a odbornými inštitúciami a rezortami zastúpenými napr. v Rade vlády pre duševné zdravie, hrozí </w:t>
            </w:r>
            <w:proofErr w:type="spellStart"/>
            <w:r w:rsidRPr="00C2761C">
              <w:rPr>
                <w:sz w:val="19"/>
                <w:szCs w:val="19"/>
              </w:rPr>
              <w:t>nekonzistentnosť</w:t>
            </w:r>
            <w:proofErr w:type="spellEnd"/>
            <w:r w:rsidRPr="00C2761C">
              <w:rPr>
                <w:sz w:val="19"/>
                <w:szCs w:val="19"/>
              </w:rPr>
              <w:t xml:space="preserve"> metodiky s existujúcimi štandardmi, prípadne duplicitná či protichodná úprava tej istej agendy viacerými nadrezortnými dokumentmi a skupinami. Zároveň nemôžeme pri stále relatívne nízkych kvalifikačných predpokladoch Národného koordinátora (môže to byť pokojne inžinier), aby mal moc sám vydávať tak dôležitý dokument. To bude veľký problém následne aj v </w:t>
            </w:r>
            <w:proofErr w:type="spellStart"/>
            <w:r w:rsidRPr="00C2761C">
              <w:rPr>
                <w:sz w:val="19"/>
                <w:szCs w:val="19"/>
              </w:rPr>
              <w:t>EŠIF</w:t>
            </w:r>
            <w:proofErr w:type="spellEnd"/>
            <w:r w:rsidRPr="00C2761C">
              <w:rPr>
                <w:sz w:val="19"/>
                <w:szCs w:val="19"/>
              </w:rPr>
              <w:t xml:space="preserve"> financovaní, lebo nebudú splnené dostatočné garancie odbornosti, kvality a zároveň aj záruka plnenia takejto metodiky všetkými aktérmi. </w:t>
            </w:r>
          </w:p>
        </w:tc>
      </w:tr>
      <w:tr w:rsidR="00691FDD" w:rsidRPr="00C2761C" w14:paraId="3F1C52FE" w14:textId="77777777">
        <w:tc>
          <w:tcPr>
            <w:tcW w:w="500" w:type="dxa"/>
            <w:tcMar>
              <w:top w:w="80" w:type="dxa"/>
              <w:left w:w="80" w:type="dxa"/>
              <w:bottom w:w="80" w:type="dxa"/>
              <w:right w:w="80" w:type="dxa"/>
            </w:tcMar>
          </w:tcPr>
          <w:p w14:paraId="3F1C52F2" w14:textId="5965AE12" w:rsidR="00691FDD" w:rsidRPr="00C2761C" w:rsidRDefault="00691FDD" w:rsidP="00691FDD">
            <w:pPr>
              <w:spacing w:after="100"/>
            </w:pPr>
            <w:r w:rsidRPr="00C2761C">
              <w:rPr>
                <w:b/>
                <w:bCs/>
              </w:rPr>
              <w:t>14</w:t>
            </w:r>
          </w:p>
        </w:tc>
        <w:tc>
          <w:tcPr>
            <w:tcW w:w="2000" w:type="dxa"/>
            <w:tcMar>
              <w:top w:w="80" w:type="dxa"/>
              <w:left w:w="80" w:type="dxa"/>
              <w:bottom w:w="80" w:type="dxa"/>
              <w:right w:w="80" w:type="dxa"/>
            </w:tcMar>
          </w:tcPr>
          <w:p w14:paraId="3F1C52F3" w14:textId="30E40A80" w:rsidR="00691FDD" w:rsidRPr="00C2761C" w:rsidRDefault="00691FDD" w:rsidP="00691FDD">
            <w:pPr>
              <w:spacing w:after="100"/>
            </w:pPr>
            <w:r w:rsidRPr="00C2761C">
              <w:rPr>
                <w:b/>
                <w:bCs/>
                <w:sz w:val="19"/>
                <w:szCs w:val="19"/>
              </w:rPr>
              <w:t>§ 20 a § 21 (oznamovacia povinnosť)</w:t>
            </w:r>
          </w:p>
        </w:tc>
        <w:tc>
          <w:tcPr>
            <w:tcW w:w="13000" w:type="dxa"/>
            <w:tcMar>
              <w:top w:w="80" w:type="dxa"/>
              <w:left w:w="80" w:type="dxa"/>
              <w:bottom w:w="80" w:type="dxa"/>
              <w:right w:w="80" w:type="dxa"/>
            </w:tcMar>
          </w:tcPr>
          <w:p w14:paraId="3773AE29" w14:textId="77777777" w:rsidR="00691FDD" w:rsidRPr="00C2761C" w:rsidRDefault="00691FDD" w:rsidP="00691FDD">
            <w:pPr>
              <w:spacing w:after="100"/>
            </w:pPr>
            <w:r w:rsidRPr="00C2761C">
              <w:rPr>
                <w:b/>
                <w:bCs/>
                <w:caps/>
                <w:color w:val="B00000"/>
                <w:sz w:val="19"/>
                <w:szCs w:val="19"/>
              </w:rPr>
              <w:t>ZÁSADNÁ</w:t>
            </w:r>
          </w:p>
          <w:p w14:paraId="6BED36AE" w14:textId="77777777" w:rsidR="00691FDD" w:rsidRPr="00C2761C" w:rsidRDefault="00691FDD" w:rsidP="00691FDD">
            <w:pPr>
              <w:spacing w:after="60"/>
            </w:pPr>
            <w:r w:rsidRPr="00C2761C">
              <w:rPr>
                <w:b/>
                <w:bCs/>
                <w:sz w:val="19"/>
                <w:szCs w:val="19"/>
              </w:rPr>
              <w:t>Návrh zmeny:</w:t>
            </w:r>
          </w:p>
          <w:p w14:paraId="06579E9C" w14:textId="77777777" w:rsidR="00691FDD" w:rsidRPr="00C2761C" w:rsidRDefault="00691FDD" w:rsidP="00691FDD">
            <w:pPr>
              <w:spacing w:after="100"/>
              <w:rPr>
                <w:sz w:val="19"/>
                <w:szCs w:val="19"/>
              </w:rPr>
            </w:pPr>
            <w:r w:rsidRPr="00C2761C">
              <w:rPr>
                <w:sz w:val="19"/>
                <w:szCs w:val="19"/>
              </w:rPr>
              <w:t xml:space="preserve">Navrhujeme zužuje okruh povinných osôb z „každý“ na kvalifikované subjekty (škola, školské zariadenie, vysoká škola, orgán verejnej moci), pri zachovaní všeobecnej povinnosti privolať zložku integrovaného záchranného systému pri bezprostrednom ohrození. Navrhujeme doplnenie tejto povinnosti aj o akreditované subjekty. Prepojiť zároveň nahlasovanie na metodiku, aby mala metodika aj pri nahlasovaní právne postavenie určovania čo a ako nahlasovať. </w:t>
            </w:r>
          </w:p>
          <w:p w14:paraId="6A6C81A3" w14:textId="77777777" w:rsidR="00691FDD" w:rsidRPr="00C2761C" w:rsidRDefault="00691FDD" w:rsidP="00691FDD">
            <w:pPr>
              <w:spacing w:after="100"/>
              <w:rPr>
                <w:sz w:val="19"/>
                <w:szCs w:val="19"/>
              </w:rPr>
            </w:pPr>
            <w:r w:rsidRPr="00C2761C">
              <w:rPr>
                <w:sz w:val="19"/>
                <w:szCs w:val="19"/>
              </w:rPr>
              <w:t xml:space="preserve">Doplniť: „Ak škola alebo školské zariadenie zistí skutočnosti nasvedčujúce </w:t>
            </w:r>
            <w:proofErr w:type="spellStart"/>
            <w:r w:rsidRPr="00C2761C">
              <w:rPr>
                <w:sz w:val="19"/>
                <w:szCs w:val="19"/>
              </w:rPr>
              <w:t>radikalizácii</w:t>
            </w:r>
            <w:proofErr w:type="spellEnd"/>
            <w:r w:rsidRPr="00C2761C">
              <w:rPr>
                <w:sz w:val="19"/>
                <w:szCs w:val="19"/>
              </w:rPr>
              <w:t xml:space="preserve"> alebo mobilizácii k násiliu, môže pred podaním oznámenia podľa odseku 1 požiadať príslušné zariadenie poradenstva a prevencie o odborné posúdenie situácie a návrh ďalšieho postupu. Tým nie je dotknutá možnosť podať oznámenie podozrenia podľa tohto zákona.“</w:t>
            </w:r>
          </w:p>
          <w:p w14:paraId="5FB6488B" w14:textId="77777777" w:rsidR="00691FDD" w:rsidRPr="00C2761C" w:rsidRDefault="00691FDD" w:rsidP="00691FDD">
            <w:pPr>
              <w:spacing w:after="100"/>
              <w:rPr>
                <w:sz w:val="19"/>
                <w:szCs w:val="19"/>
              </w:rPr>
            </w:pPr>
          </w:p>
          <w:p w14:paraId="6F09DFC6" w14:textId="77777777" w:rsidR="00691FDD" w:rsidRPr="00C2761C" w:rsidRDefault="00691FDD" w:rsidP="00691FDD">
            <w:pPr>
              <w:spacing w:after="60"/>
            </w:pPr>
            <w:r w:rsidRPr="00C2761C">
              <w:rPr>
                <w:b/>
                <w:bCs/>
                <w:sz w:val="19"/>
                <w:szCs w:val="19"/>
              </w:rPr>
              <w:t>Odôvodnenie:</w:t>
            </w:r>
          </w:p>
          <w:p w14:paraId="68DAA29E" w14:textId="77777777" w:rsidR="00691FDD" w:rsidRPr="00C2761C" w:rsidRDefault="00691FDD" w:rsidP="00691FDD">
            <w:pPr>
              <w:spacing w:after="100"/>
              <w:jc w:val="both"/>
              <w:rPr>
                <w:sz w:val="19"/>
                <w:szCs w:val="19"/>
              </w:rPr>
            </w:pPr>
            <w:r w:rsidRPr="00C2761C">
              <w:rPr>
                <w:sz w:val="19"/>
                <w:szCs w:val="19"/>
              </w:rPr>
              <w:t>Zúženie okruhu povinných osôb je krokom správnym smerom, samo osebe však nerieši chýbajúcu definíciu indikátorov. Metodika síce je v zákone vymedzená, ale nie je jasné, aké zákonné postavenie bude mať, aktuálne je vymedzená iba vo vzťahu ku koordinačnej skupine, nie k nahlasovaniu, čiže toto treba doplniť, aby to malo právnu záväznosť, lebo v aktuálnom znení zákon stále umožňuje a predpokladá, že sa nahlasuje všetko všetkými a nie je žiaden právny akt, ktorý to zúži (metodika musí mať v tomto legislatívne subsumovanie, resp. musí mať stanovené vykonávacie právomoci, ináč nebude mať právnu záväznosť.)</w:t>
            </w:r>
          </w:p>
          <w:p w14:paraId="3F1C52FD" w14:textId="269D729F" w:rsidR="00691FDD" w:rsidRPr="00C2761C" w:rsidRDefault="00691FDD" w:rsidP="00691FDD">
            <w:pPr>
              <w:spacing w:after="100"/>
            </w:pPr>
            <w:r w:rsidRPr="00C2761C">
              <w:rPr>
                <w:sz w:val="19"/>
                <w:szCs w:val="19"/>
              </w:rPr>
              <w:t xml:space="preserve">Pedagogickí zamestnanci sa v praxi stretávajú s prejavmi rizikového správania, ktoré môžu navonok pripomínať </w:t>
            </w:r>
            <w:proofErr w:type="spellStart"/>
            <w:r w:rsidRPr="00C2761C">
              <w:rPr>
                <w:sz w:val="19"/>
                <w:szCs w:val="19"/>
              </w:rPr>
              <w:t>radikalizáciu</w:t>
            </w:r>
            <w:proofErr w:type="spellEnd"/>
            <w:r w:rsidRPr="00C2761C">
              <w:rPr>
                <w:sz w:val="19"/>
                <w:szCs w:val="19"/>
              </w:rPr>
              <w:t xml:space="preserve">, ich príčinou však môžu byť psychické ťažkosti, sociálne problémy, vývinové špecifiká dospievania alebo iné faktory nesúvisiace s </w:t>
            </w:r>
            <w:proofErr w:type="spellStart"/>
            <w:r w:rsidRPr="00C2761C">
              <w:rPr>
                <w:sz w:val="19"/>
                <w:szCs w:val="19"/>
              </w:rPr>
              <w:t>radikalizáciou</w:t>
            </w:r>
            <w:proofErr w:type="spellEnd"/>
            <w:r w:rsidRPr="00C2761C">
              <w:rPr>
                <w:sz w:val="19"/>
                <w:szCs w:val="19"/>
              </w:rPr>
              <w:t>. Zavedenie možnosti predbežnej odbornej konzultácie so zariadením poradenstva a prevencie pred formálnym oznámením umožní kvalifikované posúdenie situácie ešte pred spustením mechanizmov integrovaného systému, znižuje riziko neodôvodneného označenia dieťaťa za "radikalizovanú osobu" a súčasne nijako neobmedzuje možnosť bezodkladného oznámenia v prípadoch, ktoré si to vyžadujú. Ide o doplnkový, nepovinný krok, nie o náhradu oznamovacej povinnosti – škola má naďalej plnú voľnosť oznámiť podozrenie priamo, ak si to závažnosť situácie vyžaduje.</w:t>
            </w:r>
          </w:p>
        </w:tc>
      </w:tr>
      <w:tr w:rsidR="00691FDD" w:rsidRPr="00C2761C" w14:paraId="3F1C5307" w14:textId="77777777">
        <w:tc>
          <w:tcPr>
            <w:tcW w:w="500" w:type="dxa"/>
            <w:tcMar>
              <w:top w:w="80" w:type="dxa"/>
              <w:left w:w="80" w:type="dxa"/>
              <w:bottom w:w="80" w:type="dxa"/>
              <w:right w:w="80" w:type="dxa"/>
            </w:tcMar>
          </w:tcPr>
          <w:p w14:paraId="3F1C52FF" w14:textId="5536397E" w:rsidR="00691FDD" w:rsidRPr="00C2761C" w:rsidRDefault="00691FDD" w:rsidP="00691FDD">
            <w:pPr>
              <w:spacing w:after="100"/>
            </w:pPr>
            <w:r w:rsidRPr="00C2761C">
              <w:rPr>
                <w:b/>
                <w:bCs/>
              </w:rPr>
              <w:t>15</w:t>
            </w:r>
          </w:p>
        </w:tc>
        <w:tc>
          <w:tcPr>
            <w:tcW w:w="2000" w:type="dxa"/>
            <w:tcMar>
              <w:top w:w="80" w:type="dxa"/>
              <w:left w:w="80" w:type="dxa"/>
              <w:bottom w:w="80" w:type="dxa"/>
              <w:right w:w="80" w:type="dxa"/>
            </w:tcMar>
          </w:tcPr>
          <w:p w14:paraId="3F1C5300" w14:textId="014314D5" w:rsidR="00691FDD" w:rsidRPr="00C2761C" w:rsidRDefault="00691FDD" w:rsidP="00691FDD">
            <w:pPr>
              <w:spacing w:after="100"/>
            </w:pPr>
            <w:r w:rsidRPr="00C2761C">
              <w:rPr>
                <w:b/>
                <w:bCs/>
                <w:sz w:val="19"/>
                <w:szCs w:val="19"/>
              </w:rPr>
              <w:t>Doplniť dôvodovú správu k § 15-17</w:t>
            </w:r>
          </w:p>
        </w:tc>
        <w:tc>
          <w:tcPr>
            <w:tcW w:w="13000" w:type="dxa"/>
            <w:tcMar>
              <w:top w:w="80" w:type="dxa"/>
              <w:left w:w="80" w:type="dxa"/>
              <w:bottom w:w="80" w:type="dxa"/>
              <w:right w:w="80" w:type="dxa"/>
            </w:tcMar>
          </w:tcPr>
          <w:p w14:paraId="0582E568" w14:textId="77777777" w:rsidR="00691FDD" w:rsidRPr="00C2761C" w:rsidRDefault="00691FDD" w:rsidP="00691FDD">
            <w:pPr>
              <w:spacing w:after="100"/>
            </w:pPr>
            <w:r w:rsidRPr="00C2761C">
              <w:rPr>
                <w:b/>
                <w:bCs/>
                <w:caps/>
                <w:color w:val="B00000"/>
                <w:sz w:val="19"/>
                <w:szCs w:val="19"/>
              </w:rPr>
              <w:t>ZÁSADNÁ</w:t>
            </w:r>
          </w:p>
          <w:p w14:paraId="09A778D7" w14:textId="77777777" w:rsidR="00691FDD" w:rsidRPr="00C2761C" w:rsidRDefault="00691FDD" w:rsidP="00691FDD">
            <w:pPr>
              <w:spacing w:after="100"/>
              <w:rPr>
                <w:sz w:val="19"/>
                <w:szCs w:val="19"/>
              </w:rPr>
            </w:pPr>
            <w:r w:rsidRPr="00C2761C">
              <w:rPr>
                <w:sz w:val="19"/>
                <w:szCs w:val="19"/>
              </w:rPr>
              <w:t xml:space="preserve">Doplniť uvedený text: „Zvolená veková hranica je v súlade so stanoviskom slovenskej odbornej obce. Dokument </w:t>
            </w:r>
            <w:r w:rsidRPr="00C2761C">
              <w:rPr>
                <w:i/>
                <w:iCs/>
                <w:sz w:val="19"/>
                <w:szCs w:val="19"/>
              </w:rPr>
              <w:t>Odporúčania na zdravé používanie obrazovkových médií u detí a adolescentov</w:t>
            </w:r>
            <w:r w:rsidRPr="00C2761C">
              <w:rPr>
                <w:caps/>
                <w:sz w:val="19"/>
                <w:szCs w:val="19"/>
              </w:rPr>
              <w:t xml:space="preserve"> </w:t>
            </w:r>
            <w:r w:rsidRPr="00C2761C">
              <w:rPr>
                <w:sz w:val="19"/>
                <w:szCs w:val="19"/>
              </w:rPr>
              <w:t xml:space="preserve">(2025), vzniknutý konsenzom 14 odborných spoločností a podporený MZ SR a </w:t>
            </w:r>
            <w:proofErr w:type="spellStart"/>
            <w:r w:rsidRPr="00C2761C">
              <w:rPr>
                <w:sz w:val="19"/>
                <w:szCs w:val="19"/>
              </w:rPr>
              <w:t>MŠVVaM</w:t>
            </w:r>
            <w:proofErr w:type="spellEnd"/>
            <w:r w:rsidRPr="00C2761C">
              <w:rPr>
                <w:sz w:val="19"/>
                <w:szCs w:val="19"/>
              </w:rPr>
              <w:t>, odporúča, aby dieťa nemalo prístup na internet do 9 rokov veku a nemalo dostať vlastný smartfón skôr ako v 9. roku života, najlepšie až po 12. roku.“</w:t>
            </w:r>
          </w:p>
          <w:p w14:paraId="78D37599" w14:textId="77777777" w:rsidR="00691FDD" w:rsidRPr="00C2761C" w:rsidRDefault="00691FDD" w:rsidP="00691FDD">
            <w:pPr>
              <w:spacing w:after="100"/>
              <w:rPr>
                <w:b/>
                <w:bCs/>
                <w:sz w:val="19"/>
                <w:szCs w:val="19"/>
              </w:rPr>
            </w:pPr>
            <w:r w:rsidRPr="00C2761C">
              <w:rPr>
                <w:b/>
                <w:bCs/>
                <w:sz w:val="19"/>
                <w:szCs w:val="19"/>
              </w:rPr>
              <w:lastRenderedPageBreak/>
              <w:t xml:space="preserve">Odôvodnenie: </w:t>
            </w:r>
          </w:p>
          <w:p w14:paraId="3F1C5306" w14:textId="635376EE" w:rsidR="00691FDD" w:rsidRPr="00C2761C" w:rsidRDefault="00691FDD" w:rsidP="00691FDD">
            <w:pPr>
              <w:spacing w:after="100"/>
            </w:pPr>
            <w:r w:rsidRPr="00C2761C">
              <w:rPr>
                <w:sz w:val="19"/>
                <w:szCs w:val="19"/>
              </w:rPr>
              <w:t xml:space="preserve"> Zákon potrebuje v komunikačnej, mediálnej a verejnej diskusii silnú odbornú argumentáciu pre zavádzanie zmien aj v slovenskej odbornej obci, aby mal aj dostatočný mandát a rešpekt vo verejnosti. </w:t>
            </w:r>
          </w:p>
        </w:tc>
      </w:tr>
      <w:tr w:rsidR="00691FDD" w:rsidRPr="00C2761C" w14:paraId="3F1C530F" w14:textId="77777777">
        <w:tc>
          <w:tcPr>
            <w:tcW w:w="500" w:type="dxa"/>
            <w:tcMar>
              <w:top w:w="80" w:type="dxa"/>
              <w:left w:w="80" w:type="dxa"/>
              <w:bottom w:w="80" w:type="dxa"/>
              <w:right w:w="80" w:type="dxa"/>
            </w:tcMar>
          </w:tcPr>
          <w:p w14:paraId="3F1C5308" w14:textId="13C38CF9" w:rsidR="00691FDD" w:rsidRPr="00C2761C" w:rsidRDefault="00691FDD" w:rsidP="00691FDD">
            <w:pPr>
              <w:spacing w:after="100"/>
            </w:pPr>
            <w:r w:rsidRPr="00C2761C">
              <w:rPr>
                <w:b/>
                <w:bCs/>
              </w:rPr>
              <w:lastRenderedPageBreak/>
              <w:t>16</w:t>
            </w:r>
          </w:p>
        </w:tc>
        <w:tc>
          <w:tcPr>
            <w:tcW w:w="2000" w:type="dxa"/>
            <w:tcMar>
              <w:top w:w="80" w:type="dxa"/>
              <w:left w:w="80" w:type="dxa"/>
              <w:bottom w:w="80" w:type="dxa"/>
              <w:right w:w="80" w:type="dxa"/>
            </w:tcMar>
          </w:tcPr>
          <w:p w14:paraId="3F1C5309" w14:textId="140680B9" w:rsidR="00691FDD" w:rsidRPr="00C2761C" w:rsidRDefault="00691FDD" w:rsidP="00691FDD">
            <w:pPr>
              <w:spacing w:after="100"/>
            </w:pPr>
            <w:r w:rsidRPr="00C2761C">
              <w:rPr>
                <w:b/>
                <w:bCs/>
                <w:sz w:val="19"/>
                <w:szCs w:val="19"/>
              </w:rPr>
              <w:t xml:space="preserve">Doplniť § 15 </w:t>
            </w:r>
          </w:p>
        </w:tc>
        <w:tc>
          <w:tcPr>
            <w:tcW w:w="13000" w:type="dxa"/>
            <w:tcMar>
              <w:top w:w="80" w:type="dxa"/>
              <w:left w:w="80" w:type="dxa"/>
              <w:bottom w:w="80" w:type="dxa"/>
              <w:right w:w="80" w:type="dxa"/>
            </w:tcMar>
          </w:tcPr>
          <w:p w14:paraId="58850123" w14:textId="77777777" w:rsidR="00691FDD" w:rsidRPr="00C2761C" w:rsidRDefault="00691FDD" w:rsidP="00691FDD">
            <w:pPr>
              <w:spacing w:after="100"/>
            </w:pPr>
            <w:r w:rsidRPr="00C2761C">
              <w:rPr>
                <w:b/>
                <w:bCs/>
                <w:caps/>
                <w:color w:val="B00000"/>
                <w:sz w:val="19"/>
                <w:szCs w:val="19"/>
              </w:rPr>
              <w:t>ZÁSADNÁ</w:t>
            </w:r>
          </w:p>
          <w:p w14:paraId="018983F2" w14:textId="77777777" w:rsidR="00691FDD" w:rsidRPr="00C2761C" w:rsidRDefault="00691FDD" w:rsidP="00691FDD">
            <w:pPr>
              <w:spacing w:after="100"/>
              <w:rPr>
                <w:sz w:val="19"/>
                <w:szCs w:val="19"/>
              </w:rPr>
            </w:pPr>
            <w:r w:rsidRPr="00C2761C">
              <w:rPr>
                <w:sz w:val="19"/>
                <w:szCs w:val="19"/>
              </w:rPr>
              <w:t>„Regulácia podľa § 16 sa primerane vzťahuje aj na poskytovateľa online služby podľa § 15 ods. 4 písm. a), ak táto služba umožňuje vytváranie skupinovej konverzácie alebo kanála s neurčitým alebo vopred neobmedzeným okruhom účastníkov; v takom prípade sa veková hranica podľa § 16 ods. 1 ustanovuje na 12 rokov.“</w:t>
            </w:r>
          </w:p>
          <w:p w14:paraId="1397816E" w14:textId="77777777" w:rsidR="00691FDD" w:rsidRPr="00C2761C" w:rsidRDefault="00691FDD" w:rsidP="00691FDD">
            <w:pPr>
              <w:spacing w:after="100"/>
              <w:rPr>
                <w:b/>
                <w:bCs/>
                <w:sz w:val="19"/>
                <w:szCs w:val="19"/>
              </w:rPr>
            </w:pPr>
            <w:r w:rsidRPr="00C2761C">
              <w:rPr>
                <w:b/>
                <w:bCs/>
                <w:sz w:val="19"/>
                <w:szCs w:val="19"/>
              </w:rPr>
              <w:t xml:space="preserve">Odôvodnenie: </w:t>
            </w:r>
          </w:p>
          <w:p w14:paraId="3F1C530E" w14:textId="364D1A60" w:rsidR="00691FDD" w:rsidRPr="00C2761C" w:rsidRDefault="00691FDD" w:rsidP="00691FDD">
            <w:pPr>
              <w:spacing w:after="100"/>
            </w:pPr>
            <w:r w:rsidRPr="00C2761C">
              <w:rPr>
                <w:sz w:val="19"/>
                <w:szCs w:val="19"/>
              </w:rPr>
              <w:t xml:space="preserve">Výnimka podľa § 15 ods. 4 písm. a) je odôvodnená pri 1:1 komunikácii (napr. dieťa – rodič), rovnako sa však dnes vzťahuje aj na skupinové konverzácie a kanály s desiatkami až stovkami účastníkov, ktoré funkčne plnia úlohu sociálnej siete a nesú rovnaké riziká (šírenie extrémistického obsahu, </w:t>
            </w:r>
            <w:proofErr w:type="spellStart"/>
            <w:r w:rsidRPr="00C2761C">
              <w:rPr>
                <w:sz w:val="19"/>
                <w:szCs w:val="19"/>
              </w:rPr>
              <w:t>kyberšikana</w:t>
            </w:r>
            <w:proofErr w:type="spellEnd"/>
            <w:r w:rsidRPr="00C2761C">
              <w:rPr>
                <w:sz w:val="19"/>
                <w:szCs w:val="19"/>
              </w:rPr>
              <w:t xml:space="preserve">, kontakt so sexuálnym agresorom). Odborný konsenzus </w:t>
            </w:r>
            <w:r w:rsidRPr="00C2761C">
              <w:rPr>
                <w:i/>
                <w:iCs/>
                <w:sz w:val="19"/>
                <w:szCs w:val="19"/>
              </w:rPr>
              <w:t>Odporúčania na zdravé používanie obrazovkových médií u detí a adolescentov</w:t>
            </w:r>
            <w:r w:rsidRPr="00C2761C">
              <w:rPr>
                <w:sz w:val="19"/>
                <w:szCs w:val="19"/>
              </w:rPr>
              <w:t xml:space="preserve"> (2025) odporúča vlastný smartfón, a teda aj samostatný prístup k týmto funkciám, až od 12 rokov. Keďže zákon už zavádza mechanizmus overenia veku (§ 16 ods. 3), jeho rozšírenie na skupinové/kanálové funkcie nevyžaduje novú infraštruktúru a nedotýka sa bežnej 1:1 komunikácie dieťaťa.“</w:t>
            </w:r>
          </w:p>
        </w:tc>
      </w:tr>
      <w:tr w:rsidR="00691FDD" w:rsidRPr="00C2761C" w14:paraId="6E0018BF" w14:textId="77777777">
        <w:tc>
          <w:tcPr>
            <w:tcW w:w="500" w:type="dxa"/>
            <w:tcMar>
              <w:top w:w="80" w:type="dxa"/>
              <w:left w:w="80" w:type="dxa"/>
              <w:bottom w:w="80" w:type="dxa"/>
              <w:right w:w="80" w:type="dxa"/>
            </w:tcMar>
          </w:tcPr>
          <w:p w14:paraId="4F065EDC" w14:textId="2C1156B6" w:rsidR="00691FDD" w:rsidRPr="00C2761C" w:rsidRDefault="00691FDD" w:rsidP="00691FDD">
            <w:pPr>
              <w:spacing w:after="100"/>
              <w:rPr>
                <w:b/>
                <w:bCs/>
              </w:rPr>
            </w:pPr>
            <w:r w:rsidRPr="00C2761C">
              <w:rPr>
                <w:b/>
                <w:bCs/>
              </w:rPr>
              <w:t>16</w:t>
            </w:r>
          </w:p>
        </w:tc>
        <w:tc>
          <w:tcPr>
            <w:tcW w:w="2000" w:type="dxa"/>
            <w:tcMar>
              <w:top w:w="80" w:type="dxa"/>
              <w:left w:w="80" w:type="dxa"/>
              <w:bottom w:w="80" w:type="dxa"/>
              <w:right w:w="80" w:type="dxa"/>
            </w:tcMar>
          </w:tcPr>
          <w:p w14:paraId="427200D4" w14:textId="46F9A9CE" w:rsidR="00691FDD" w:rsidRPr="00C2761C" w:rsidRDefault="00691FDD" w:rsidP="00691FDD">
            <w:pPr>
              <w:spacing w:after="100"/>
              <w:rPr>
                <w:b/>
                <w:bCs/>
                <w:sz w:val="19"/>
                <w:szCs w:val="19"/>
              </w:rPr>
            </w:pPr>
            <w:r w:rsidRPr="00C2761C">
              <w:rPr>
                <w:b/>
                <w:bCs/>
                <w:sz w:val="19"/>
                <w:szCs w:val="19"/>
              </w:rPr>
              <w:t>Doplnenie § 18 ods. 2</w:t>
            </w:r>
          </w:p>
        </w:tc>
        <w:tc>
          <w:tcPr>
            <w:tcW w:w="13000" w:type="dxa"/>
            <w:tcMar>
              <w:top w:w="80" w:type="dxa"/>
              <w:left w:w="80" w:type="dxa"/>
              <w:bottom w:w="80" w:type="dxa"/>
              <w:right w:w="80" w:type="dxa"/>
            </w:tcMar>
          </w:tcPr>
          <w:p w14:paraId="72F42C95" w14:textId="77777777" w:rsidR="00691FDD" w:rsidRPr="00C2761C" w:rsidRDefault="00691FDD" w:rsidP="00691FDD">
            <w:pPr>
              <w:spacing w:after="100"/>
            </w:pPr>
            <w:r w:rsidRPr="00C2761C">
              <w:rPr>
                <w:b/>
                <w:bCs/>
                <w:caps/>
                <w:color w:val="B00000"/>
                <w:sz w:val="19"/>
                <w:szCs w:val="19"/>
              </w:rPr>
              <w:t>ZÁSADNÁ</w:t>
            </w:r>
          </w:p>
          <w:p w14:paraId="1C5F4DC9" w14:textId="77777777" w:rsidR="00691FDD" w:rsidRPr="00C2761C" w:rsidRDefault="00691FDD" w:rsidP="00691FDD">
            <w:pPr>
              <w:spacing w:after="100"/>
              <w:rPr>
                <w:sz w:val="19"/>
                <w:szCs w:val="19"/>
              </w:rPr>
            </w:pPr>
            <w:r w:rsidRPr="00C2761C">
              <w:rPr>
                <w:sz w:val="19"/>
                <w:szCs w:val="19"/>
              </w:rPr>
              <w:t>„vydáva v spolupráci s Ministerstvom zdravotníctva Slovenskej republiky metodické usmernenie na používanie digitálnych technológií deťmi určené rodičom a usmerňuje školy a školské zariadenia pri jeho uplatňovaní.“</w:t>
            </w:r>
          </w:p>
          <w:p w14:paraId="0F37E307" w14:textId="77777777" w:rsidR="00691FDD" w:rsidRPr="00C2761C" w:rsidRDefault="00691FDD" w:rsidP="00691FDD">
            <w:pPr>
              <w:spacing w:after="100"/>
              <w:rPr>
                <w:b/>
                <w:bCs/>
                <w:sz w:val="19"/>
                <w:szCs w:val="19"/>
              </w:rPr>
            </w:pPr>
            <w:r w:rsidRPr="00C2761C">
              <w:rPr>
                <w:b/>
                <w:bCs/>
                <w:sz w:val="19"/>
                <w:szCs w:val="19"/>
              </w:rPr>
              <w:t xml:space="preserve">Odôvodnenie: </w:t>
            </w:r>
          </w:p>
          <w:p w14:paraId="2A9695DD" w14:textId="6E0D3033" w:rsidR="00691FDD" w:rsidRPr="00C2761C" w:rsidRDefault="00691FDD" w:rsidP="00691FDD">
            <w:pPr>
              <w:spacing w:after="100"/>
              <w:rPr>
                <w:b/>
                <w:bCs/>
                <w:caps/>
                <w:color w:val="B00000"/>
                <w:sz w:val="19"/>
                <w:szCs w:val="19"/>
              </w:rPr>
            </w:pPr>
            <w:r w:rsidRPr="00C2761C">
              <w:rPr>
                <w:sz w:val="19"/>
                <w:szCs w:val="19"/>
              </w:rPr>
              <w:t xml:space="preserve">„Ide o </w:t>
            </w:r>
            <w:proofErr w:type="spellStart"/>
            <w:r w:rsidRPr="00C2761C">
              <w:rPr>
                <w:sz w:val="19"/>
                <w:szCs w:val="19"/>
              </w:rPr>
              <w:t>nízkonákladové</w:t>
            </w:r>
            <w:proofErr w:type="spellEnd"/>
            <w:r w:rsidRPr="00C2761C">
              <w:rPr>
                <w:sz w:val="19"/>
                <w:szCs w:val="19"/>
              </w:rPr>
              <w:t xml:space="preserve"> opatrenie nadväzujúce na odborný konsenzus 14 odborných spoločností, ktorý ministerstvá už podporili (Odporúčania na zdravé používanie obrazovkových médií u detí a adolescentov, 2025). Zákon by mal tento existujúci záväzok premietnuť do konkrétnej metodickej povinnosti voči rodičom aj školám.“</w:t>
            </w:r>
          </w:p>
        </w:tc>
      </w:tr>
      <w:tr w:rsidR="00691FDD" w:rsidRPr="00C2761C" w14:paraId="52480C5F" w14:textId="77777777">
        <w:tc>
          <w:tcPr>
            <w:tcW w:w="500" w:type="dxa"/>
            <w:tcMar>
              <w:top w:w="80" w:type="dxa"/>
              <w:left w:w="80" w:type="dxa"/>
              <w:bottom w:w="80" w:type="dxa"/>
              <w:right w:w="80" w:type="dxa"/>
            </w:tcMar>
          </w:tcPr>
          <w:p w14:paraId="659FE8BC" w14:textId="30384BFA" w:rsidR="00691FDD" w:rsidRPr="00C2761C" w:rsidRDefault="00691FDD" w:rsidP="00691FDD">
            <w:pPr>
              <w:spacing w:after="100"/>
              <w:rPr>
                <w:b/>
                <w:bCs/>
              </w:rPr>
            </w:pPr>
            <w:r w:rsidRPr="00C2761C">
              <w:rPr>
                <w:b/>
                <w:bCs/>
              </w:rPr>
              <w:t>17</w:t>
            </w:r>
          </w:p>
        </w:tc>
        <w:tc>
          <w:tcPr>
            <w:tcW w:w="2000" w:type="dxa"/>
            <w:tcMar>
              <w:top w:w="80" w:type="dxa"/>
              <w:left w:w="80" w:type="dxa"/>
              <w:bottom w:w="80" w:type="dxa"/>
              <w:right w:w="80" w:type="dxa"/>
            </w:tcMar>
          </w:tcPr>
          <w:p w14:paraId="42B06FB4" w14:textId="0AFEF843" w:rsidR="00691FDD" w:rsidRPr="00C2761C" w:rsidRDefault="00691FDD" w:rsidP="00691FDD">
            <w:pPr>
              <w:spacing w:after="100"/>
              <w:rPr>
                <w:b/>
                <w:bCs/>
                <w:sz w:val="19"/>
                <w:szCs w:val="19"/>
              </w:rPr>
            </w:pPr>
            <w:r w:rsidRPr="00C2761C">
              <w:rPr>
                <w:b/>
                <w:bCs/>
                <w:sz w:val="19"/>
                <w:szCs w:val="19"/>
              </w:rPr>
              <w:t xml:space="preserve">Doložka vplyvov na rozpočet verejnej správy k zákonu </w:t>
            </w:r>
            <w:proofErr w:type="spellStart"/>
            <w:r w:rsidRPr="00C2761C">
              <w:rPr>
                <w:b/>
                <w:bCs/>
                <w:sz w:val="19"/>
                <w:szCs w:val="19"/>
              </w:rPr>
              <w:t>Derad</w:t>
            </w:r>
            <w:proofErr w:type="spellEnd"/>
            <w:r w:rsidRPr="00C2761C">
              <w:rPr>
                <w:b/>
                <w:bCs/>
                <w:sz w:val="19"/>
                <w:szCs w:val="19"/>
              </w:rPr>
              <w:t>; súvisiaca novela zákona č. 453/2003 Z. z. (čl. III); § 33 ods. 1 a § 19 ods. 6 zákona č. 523/2004 Z. z.</w:t>
            </w:r>
          </w:p>
        </w:tc>
        <w:tc>
          <w:tcPr>
            <w:tcW w:w="13000" w:type="dxa"/>
            <w:tcMar>
              <w:top w:w="80" w:type="dxa"/>
              <w:left w:w="80" w:type="dxa"/>
              <w:bottom w:w="80" w:type="dxa"/>
              <w:right w:w="80" w:type="dxa"/>
            </w:tcMar>
          </w:tcPr>
          <w:p w14:paraId="7286CCD2" w14:textId="77777777" w:rsidR="00691FDD" w:rsidRPr="00C2761C" w:rsidRDefault="00691FDD" w:rsidP="00691FDD">
            <w:pPr>
              <w:spacing w:after="100"/>
            </w:pPr>
            <w:r w:rsidRPr="00C2761C">
              <w:rPr>
                <w:b/>
                <w:bCs/>
                <w:caps/>
                <w:color w:val="B00000"/>
                <w:sz w:val="19"/>
                <w:szCs w:val="19"/>
              </w:rPr>
              <w:t>ZÁSADNÁ</w:t>
            </w:r>
          </w:p>
          <w:p w14:paraId="386C941E" w14:textId="77777777" w:rsidR="00691FDD" w:rsidRPr="00C2761C" w:rsidRDefault="00691FDD" w:rsidP="00691FDD">
            <w:pPr>
              <w:spacing w:after="60"/>
            </w:pPr>
            <w:r w:rsidRPr="00C2761C">
              <w:rPr>
                <w:b/>
                <w:bCs/>
                <w:sz w:val="19"/>
                <w:szCs w:val="19"/>
              </w:rPr>
              <w:t>Návrh zmeny:</w:t>
            </w:r>
          </w:p>
          <w:p w14:paraId="387B183E" w14:textId="77777777" w:rsidR="00691FDD" w:rsidRPr="00C2761C" w:rsidRDefault="00691FDD" w:rsidP="00691FDD">
            <w:pPr>
              <w:spacing w:after="100"/>
            </w:pPr>
            <w:r w:rsidRPr="00C2761C">
              <w:rPr>
                <w:sz w:val="19"/>
                <w:szCs w:val="19"/>
              </w:rPr>
              <w:t xml:space="preserve">Doplniť do doložky vplyvov analýzu lacnejšej alternatívy – rozšírenie mandátu existujúcich koordinátorov ochrany detí pred násilím financovaných z </w:t>
            </w:r>
            <w:proofErr w:type="spellStart"/>
            <w:r w:rsidRPr="00C2761C">
              <w:rPr>
                <w:sz w:val="19"/>
                <w:szCs w:val="19"/>
              </w:rPr>
              <w:t>ESF</w:t>
            </w:r>
            <w:proofErr w:type="spellEnd"/>
            <w:r w:rsidRPr="00C2761C">
              <w:rPr>
                <w:sz w:val="19"/>
                <w:szCs w:val="19"/>
              </w:rPr>
              <w:t xml:space="preserve">+ (46 okresných + 3 regionálni) namiesto zriaďovania 8 nových regionálnych koordinátorov na ministerstve školstva a 4 nových miest na </w:t>
            </w:r>
            <w:proofErr w:type="spellStart"/>
            <w:r w:rsidRPr="00C2761C">
              <w:rPr>
                <w:sz w:val="19"/>
                <w:szCs w:val="19"/>
              </w:rPr>
              <w:t>ÚPSVR</w:t>
            </w:r>
            <w:proofErr w:type="spellEnd"/>
            <w:r w:rsidRPr="00C2761C">
              <w:rPr>
                <w:sz w:val="19"/>
                <w:szCs w:val="19"/>
              </w:rPr>
              <w:t xml:space="preserve"> pre prekrývajúcu sa agendu.</w:t>
            </w:r>
          </w:p>
          <w:p w14:paraId="655DD817" w14:textId="77777777" w:rsidR="00691FDD" w:rsidRPr="00C2761C" w:rsidRDefault="00691FDD" w:rsidP="00691FDD">
            <w:pPr>
              <w:spacing w:after="100"/>
            </w:pPr>
            <w:r w:rsidRPr="00C2761C">
              <w:rPr>
                <w:sz w:val="19"/>
                <w:szCs w:val="19"/>
              </w:rPr>
              <w:t>Zosúladiť doložku vplyvov s limitom verejných výdavkov verejnej správy na roky 2027 – 2029 pred predložením návrhu na rokovanie vlády, resp. postupovať podľa § 33 ods. 1 zákona č. 523/2004 Z. z.</w:t>
            </w:r>
          </w:p>
          <w:p w14:paraId="5C37D4D4" w14:textId="77777777" w:rsidR="00691FDD" w:rsidRPr="00C2761C" w:rsidRDefault="00691FDD" w:rsidP="00691FDD">
            <w:pPr>
              <w:spacing w:after="60"/>
            </w:pPr>
            <w:r w:rsidRPr="00C2761C">
              <w:rPr>
                <w:b/>
                <w:bCs/>
                <w:sz w:val="19"/>
                <w:szCs w:val="19"/>
              </w:rPr>
              <w:t>Odôvodnenie:</w:t>
            </w:r>
          </w:p>
          <w:p w14:paraId="64ECA720" w14:textId="77777777" w:rsidR="00691FDD" w:rsidRPr="00C2761C" w:rsidRDefault="00691FDD" w:rsidP="00691FDD">
            <w:pPr>
              <w:spacing w:after="100"/>
            </w:pPr>
            <w:r w:rsidRPr="00C2761C">
              <w:rPr>
                <w:sz w:val="19"/>
                <w:szCs w:val="19"/>
              </w:rPr>
              <w:t>Doložka vplyvov výslovne priznáva rozpočtovo nekrytý vplyv 718 tis. € (2027), 2,86 mil. € (2028) a 2,92 mil. € (2029), presahujúci limit verejných výdavkov (tab. 1/B) – situácia zakladajúca povinnosť postupu podľa § 33 ods. 1 zákona č. 523/2004 Z. z.</w:t>
            </w:r>
          </w:p>
          <w:p w14:paraId="65D455DB" w14:textId="77777777" w:rsidR="00691FDD" w:rsidRPr="00C2761C" w:rsidRDefault="00691FDD" w:rsidP="00691FDD">
            <w:pPr>
              <w:spacing w:after="100"/>
            </w:pPr>
            <w:r w:rsidRPr="00C2761C">
              <w:rPr>
                <w:sz w:val="19"/>
                <w:szCs w:val="19"/>
              </w:rPr>
              <w:t>Doložka súčasne dokumentuje vysokú efektivitu existujúcej siete (893 osvetových aktivít, viac ako 90 000 oslovených osôb, nárast zapojených subjektov o 21 %, ocenenie Európskej komisie, 66 % subjektov hodnotí pozíciu ako veľmi prínosnú) a zároveň ju stabilizuje (čl. III), no popri nej zriaďuje druhú, prekrývajúcu sa vrstvu – v rozpore so zásadou hospodárnosti podľa § 19 ods. 6 zákona č. 523/2004 Z. z. Riešenie podľa riadku 8 (poverovanie konkrétnymi prípadmi) tento rozpor čiastočne rieši vecne, malo by sa však premietnuť aj do doložky vplyvov.</w:t>
            </w:r>
          </w:p>
          <w:p w14:paraId="05BA2C74" w14:textId="1DEEAD98" w:rsidR="00691FDD" w:rsidRPr="00C2761C" w:rsidRDefault="00691FDD" w:rsidP="00691FDD">
            <w:pPr>
              <w:spacing w:after="100"/>
              <w:rPr>
                <w:b/>
                <w:bCs/>
                <w:caps/>
                <w:color w:val="B00000"/>
                <w:sz w:val="19"/>
                <w:szCs w:val="19"/>
              </w:rPr>
            </w:pPr>
            <w:r w:rsidRPr="00C2761C">
              <w:rPr>
                <w:sz w:val="19"/>
                <w:szCs w:val="19"/>
              </w:rPr>
              <w:t xml:space="preserve">Rovnaká agenda je financovaná z Programu Slovensko (cieľ politiky 4, </w:t>
            </w:r>
            <w:proofErr w:type="spellStart"/>
            <w:r w:rsidRPr="00C2761C">
              <w:rPr>
                <w:sz w:val="19"/>
                <w:szCs w:val="19"/>
              </w:rPr>
              <w:t>ESF</w:t>
            </w:r>
            <w:proofErr w:type="spellEnd"/>
            <w:r w:rsidRPr="00C2761C">
              <w:rPr>
                <w:sz w:val="19"/>
                <w:szCs w:val="19"/>
              </w:rPr>
              <w:t>+); zriadenie paralelnej štátom platenej štruktúry zakladá riziko demarkačného konfliktu a otázky dvojitého financovania, ktoré budú uplatnené aj samostatne v rámci Monitorovacieho výboru pre cieľ politiky 4.</w:t>
            </w:r>
          </w:p>
        </w:tc>
      </w:tr>
      <w:tr w:rsidR="00691FDD" w:rsidRPr="00C2761C" w14:paraId="61A5E711" w14:textId="77777777">
        <w:tc>
          <w:tcPr>
            <w:tcW w:w="500" w:type="dxa"/>
            <w:tcMar>
              <w:top w:w="80" w:type="dxa"/>
              <w:left w:w="80" w:type="dxa"/>
              <w:bottom w:w="80" w:type="dxa"/>
              <w:right w:w="80" w:type="dxa"/>
            </w:tcMar>
          </w:tcPr>
          <w:p w14:paraId="0190AF90" w14:textId="7AC770B6" w:rsidR="00691FDD" w:rsidRPr="00C2761C" w:rsidRDefault="00691FDD" w:rsidP="00691FDD">
            <w:pPr>
              <w:spacing w:after="100"/>
              <w:rPr>
                <w:b/>
                <w:bCs/>
              </w:rPr>
            </w:pPr>
            <w:r w:rsidRPr="00C2761C">
              <w:rPr>
                <w:b/>
                <w:bCs/>
              </w:rPr>
              <w:t>18</w:t>
            </w:r>
          </w:p>
        </w:tc>
        <w:tc>
          <w:tcPr>
            <w:tcW w:w="2000" w:type="dxa"/>
            <w:tcMar>
              <w:top w:w="80" w:type="dxa"/>
              <w:left w:w="80" w:type="dxa"/>
              <w:bottom w:w="80" w:type="dxa"/>
              <w:right w:w="80" w:type="dxa"/>
            </w:tcMar>
          </w:tcPr>
          <w:p w14:paraId="26ABD53F" w14:textId="68865D6F" w:rsidR="00691FDD" w:rsidRPr="00C2761C" w:rsidRDefault="00691FDD" w:rsidP="00691FDD">
            <w:pPr>
              <w:spacing w:after="100"/>
              <w:rPr>
                <w:b/>
                <w:bCs/>
                <w:sz w:val="19"/>
                <w:szCs w:val="19"/>
              </w:rPr>
            </w:pPr>
            <w:r w:rsidRPr="00C2761C">
              <w:rPr>
                <w:b/>
                <w:bCs/>
                <w:sz w:val="19"/>
                <w:szCs w:val="19"/>
              </w:rPr>
              <w:t xml:space="preserve">Správa o účasti verejnosti na tvorbe </w:t>
            </w:r>
            <w:r w:rsidRPr="00C2761C">
              <w:rPr>
                <w:b/>
                <w:bCs/>
                <w:sz w:val="19"/>
                <w:szCs w:val="19"/>
              </w:rPr>
              <w:lastRenderedPageBreak/>
              <w:t xml:space="preserve">právneho predpisu (predkladacie dokumenty k </w:t>
            </w:r>
            <w:proofErr w:type="spellStart"/>
            <w:r w:rsidRPr="00C2761C">
              <w:rPr>
                <w:b/>
                <w:bCs/>
                <w:sz w:val="19"/>
                <w:szCs w:val="19"/>
              </w:rPr>
              <w:t>MPK</w:t>
            </w:r>
            <w:proofErr w:type="spellEnd"/>
            <w:r w:rsidRPr="00C2761C">
              <w:rPr>
                <w:b/>
                <w:bCs/>
                <w:sz w:val="19"/>
                <w:szCs w:val="19"/>
              </w:rPr>
              <w:t>)</w:t>
            </w:r>
          </w:p>
        </w:tc>
        <w:tc>
          <w:tcPr>
            <w:tcW w:w="13000" w:type="dxa"/>
            <w:tcMar>
              <w:top w:w="80" w:type="dxa"/>
              <w:left w:w="80" w:type="dxa"/>
              <w:bottom w:w="80" w:type="dxa"/>
              <w:right w:w="80" w:type="dxa"/>
            </w:tcMar>
          </w:tcPr>
          <w:p w14:paraId="05BB5487" w14:textId="77777777" w:rsidR="00691FDD" w:rsidRPr="00C2761C" w:rsidRDefault="00691FDD" w:rsidP="00691FDD">
            <w:pPr>
              <w:spacing w:after="100"/>
            </w:pPr>
            <w:r w:rsidRPr="00C2761C">
              <w:rPr>
                <w:b/>
                <w:bCs/>
                <w:caps/>
                <w:color w:val="B00000"/>
                <w:sz w:val="19"/>
                <w:szCs w:val="19"/>
              </w:rPr>
              <w:lastRenderedPageBreak/>
              <w:t>ZÁSADNÁ</w:t>
            </w:r>
          </w:p>
          <w:p w14:paraId="7EA6736A" w14:textId="77777777" w:rsidR="00691FDD" w:rsidRPr="00C2761C" w:rsidRDefault="00691FDD" w:rsidP="00691FDD">
            <w:pPr>
              <w:spacing w:after="60"/>
            </w:pPr>
            <w:r w:rsidRPr="00C2761C">
              <w:rPr>
                <w:b/>
                <w:bCs/>
                <w:sz w:val="19"/>
                <w:szCs w:val="19"/>
              </w:rPr>
              <w:lastRenderedPageBreak/>
              <w:t>Návrh zmeny:</w:t>
            </w:r>
          </w:p>
          <w:p w14:paraId="52A6A86F" w14:textId="77777777" w:rsidR="00691FDD" w:rsidRPr="00C2761C" w:rsidRDefault="00691FDD" w:rsidP="00691FDD">
            <w:pPr>
              <w:spacing w:after="100"/>
            </w:pPr>
            <w:r w:rsidRPr="00C2761C">
              <w:rPr>
                <w:sz w:val="19"/>
                <w:szCs w:val="19"/>
              </w:rPr>
              <w:t>Žiadame Správu o účasti verejnosti na tvorbe právneho predpisu doplniť tak, aby pravdivo zodpovedala priebehu prípravy, alebo návrh pred pokračovaním legislatívneho procesu vrátiť na riadne pripomienkové a odborné prerokovanie, ktoré doteraz reálne neprebehlo.</w:t>
            </w:r>
          </w:p>
          <w:p w14:paraId="5E989F23" w14:textId="77777777" w:rsidR="00691FDD" w:rsidRPr="00C2761C" w:rsidRDefault="00691FDD" w:rsidP="00691FDD">
            <w:pPr>
              <w:spacing w:after="100"/>
            </w:pPr>
            <w:r w:rsidRPr="00C2761C">
              <w:rPr>
                <w:sz w:val="19"/>
                <w:szCs w:val="19"/>
              </w:rPr>
              <w:t xml:space="preserve">Žiadame, aby predkladateľ pred ukončením </w:t>
            </w:r>
            <w:proofErr w:type="spellStart"/>
            <w:r w:rsidRPr="00C2761C">
              <w:rPr>
                <w:sz w:val="19"/>
                <w:szCs w:val="19"/>
              </w:rPr>
              <w:t>MPK</w:t>
            </w:r>
            <w:proofErr w:type="spellEnd"/>
            <w:r w:rsidRPr="00C2761C">
              <w:rPr>
                <w:sz w:val="19"/>
                <w:szCs w:val="19"/>
              </w:rPr>
              <w:t xml:space="preserve"> preukázateľne predložil návrh zákona (nie len prezentáciu vo forme PowerPointu) na oficiálne prerokovanie výboru </w:t>
            </w:r>
            <w:proofErr w:type="spellStart"/>
            <w:r w:rsidRPr="00C2761C">
              <w:rPr>
                <w:sz w:val="19"/>
                <w:szCs w:val="19"/>
              </w:rPr>
              <w:t>VRAX</w:t>
            </w:r>
            <w:proofErr w:type="spellEnd"/>
            <w:r w:rsidRPr="00C2761C">
              <w:rPr>
                <w:sz w:val="19"/>
                <w:szCs w:val="19"/>
              </w:rPr>
              <w:t xml:space="preserve"> pri Ministerstve vnútra SR, Rade vlády Slovenskej republiky pre duševné zdravie, metodickej rade centier poradenstva a prevencie a Výskumnému ústavu detskej psychológie a patopsychológie (</w:t>
            </w:r>
            <w:proofErr w:type="spellStart"/>
            <w:r w:rsidRPr="00C2761C">
              <w:rPr>
                <w:sz w:val="19"/>
                <w:szCs w:val="19"/>
              </w:rPr>
              <w:t>VUDPaP</w:t>
            </w:r>
            <w:proofErr w:type="spellEnd"/>
            <w:r w:rsidRPr="00C2761C">
              <w:rPr>
                <w:sz w:val="19"/>
                <w:szCs w:val="19"/>
              </w:rPr>
              <w:t>) príp. ďalších aktérov, a aby výsledky tohto prerokovania boli súčasťou predkladacích dokumentov.</w:t>
            </w:r>
          </w:p>
          <w:p w14:paraId="201DE260" w14:textId="77777777" w:rsidR="00691FDD" w:rsidRPr="00C2761C" w:rsidRDefault="00691FDD" w:rsidP="00691FDD">
            <w:pPr>
              <w:spacing w:after="60"/>
            </w:pPr>
            <w:r w:rsidRPr="00C2761C">
              <w:rPr>
                <w:b/>
                <w:bCs/>
                <w:sz w:val="19"/>
                <w:szCs w:val="19"/>
              </w:rPr>
              <w:t>Odôvodnenie:</w:t>
            </w:r>
          </w:p>
          <w:p w14:paraId="35823C7D" w14:textId="77777777" w:rsidR="00691FDD" w:rsidRPr="00C2761C" w:rsidRDefault="00691FDD" w:rsidP="00691FDD">
            <w:pPr>
              <w:spacing w:after="100"/>
            </w:pPr>
            <w:r w:rsidRPr="00C2761C">
              <w:rPr>
                <w:sz w:val="19"/>
                <w:szCs w:val="19"/>
              </w:rPr>
              <w:t xml:space="preserve">Správa o účasti verejnosti na tvorbe právneho predpisu má podľa Legislatívnych pravidiel vlády SR a Jednotnej metodiky na posudzovanie vybraných vplyvov pravdivo zachytávať, akým spôsobom a s kým predkladateľ návrh pripravoval a konzultoval pred jeho predložením do </w:t>
            </w:r>
            <w:proofErr w:type="spellStart"/>
            <w:r w:rsidRPr="00C2761C">
              <w:rPr>
                <w:sz w:val="19"/>
                <w:szCs w:val="19"/>
              </w:rPr>
              <w:t>MPK</w:t>
            </w:r>
            <w:proofErr w:type="spellEnd"/>
            <w:r w:rsidRPr="00C2761C">
              <w:rPr>
                <w:sz w:val="19"/>
                <w:szCs w:val="19"/>
              </w:rPr>
              <w:t>. V tomto prípade ide o čistú formalitu, ktorá neodráža skutočný priebeh prípravy.</w:t>
            </w:r>
          </w:p>
          <w:p w14:paraId="6057696A" w14:textId="77777777" w:rsidR="00691FDD" w:rsidRPr="00C2761C" w:rsidRDefault="00691FDD" w:rsidP="00691FDD">
            <w:pPr>
              <w:spacing w:after="100"/>
            </w:pPr>
            <w:r w:rsidRPr="00C2761C">
              <w:rPr>
                <w:sz w:val="19"/>
                <w:szCs w:val="19"/>
              </w:rPr>
              <w:t xml:space="preserve">Jediným miestom, kde bol návrh vôbec prezentovaný pred </w:t>
            </w:r>
            <w:proofErr w:type="spellStart"/>
            <w:r w:rsidRPr="00C2761C">
              <w:rPr>
                <w:sz w:val="19"/>
                <w:szCs w:val="19"/>
              </w:rPr>
              <w:t>MPK</w:t>
            </w:r>
            <w:proofErr w:type="spellEnd"/>
            <w:r w:rsidRPr="00C2761C">
              <w:rPr>
                <w:sz w:val="19"/>
                <w:szCs w:val="19"/>
              </w:rPr>
              <w:t xml:space="preserve">, bola pracovná skupina </w:t>
            </w:r>
            <w:proofErr w:type="spellStart"/>
            <w:r w:rsidRPr="00C2761C">
              <w:rPr>
                <w:sz w:val="19"/>
                <w:szCs w:val="19"/>
              </w:rPr>
              <w:t>Derad</w:t>
            </w:r>
            <w:proofErr w:type="spellEnd"/>
            <w:r w:rsidRPr="00C2761C">
              <w:rPr>
                <w:sz w:val="19"/>
                <w:szCs w:val="19"/>
              </w:rPr>
              <w:t xml:space="preserve"> pôsobiaca pod výborom pre riešenie problematiky extrémizmu a </w:t>
            </w:r>
            <w:proofErr w:type="spellStart"/>
            <w:r w:rsidRPr="00C2761C">
              <w:rPr>
                <w:sz w:val="19"/>
                <w:szCs w:val="19"/>
              </w:rPr>
              <w:t>radikalizácie</w:t>
            </w:r>
            <w:proofErr w:type="spellEnd"/>
            <w:r w:rsidRPr="00C2761C">
              <w:rPr>
                <w:sz w:val="19"/>
                <w:szCs w:val="19"/>
              </w:rPr>
              <w:t xml:space="preserve"> (</w:t>
            </w:r>
            <w:proofErr w:type="spellStart"/>
            <w:r w:rsidRPr="00C2761C">
              <w:rPr>
                <w:sz w:val="19"/>
                <w:szCs w:val="19"/>
              </w:rPr>
              <w:t>VRAX</w:t>
            </w:r>
            <w:proofErr w:type="spellEnd"/>
            <w:r w:rsidRPr="00C2761C">
              <w:rPr>
                <w:sz w:val="19"/>
                <w:szCs w:val="19"/>
              </w:rPr>
              <w:t xml:space="preserve">) pri Ministerstve vnútra SR, a to len formou prezentácie (PowerPoint), nie formou textu návrhu zákona. Text zákon dostala táto pracovná skupina až v deň </w:t>
            </w:r>
            <w:proofErr w:type="spellStart"/>
            <w:r w:rsidRPr="00C2761C">
              <w:rPr>
                <w:sz w:val="19"/>
                <w:szCs w:val="19"/>
              </w:rPr>
              <w:t>MPK</w:t>
            </w:r>
            <w:proofErr w:type="spellEnd"/>
            <w:r w:rsidRPr="00C2761C">
              <w:rPr>
                <w:sz w:val="19"/>
                <w:szCs w:val="19"/>
              </w:rPr>
              <w:t xml:space="preserve">. Samotný výbor </w:t>
            </w:r>
            <w:proofErr w:type="spellStart"/>
            <w:r w:rsidRPr="00C2761C">
              <w:rPr>
                <w:sz w:val="19"/>
                <w:szCs w:val="19"/>
              </w:rPr>
              <w:t>VRAX</w:t>
            </w:r>
            <w:proofErr w:type="spellEnd"/>
            <w:r w:rsidRPr="00C2761C">
              <w:rPr>
                <w:sz w:val="19"/>
                <w:szCs w:val="19"/>
              </w:rPr>
              <w:t xml:space="preserve"> návrh oficiálne neprerokoval.</w:t>
            </w:r>
          </w:p>
          <w:p w14:paraId="1473F7D4" w14:textId="77777777" w:rsidR="00691FDD" w:rsidRPr="00C2761C" w:rsidRDefault="00691FDD" w:rsidP="00691FDD">
            <w:pPr>
              <w:spacing w:after="100"/>
            </w:pPr>
            <w:r w:rsidRPr="00C2761C">
              <w:rPr>
                <w:sz w:val="19"/>
                <w:szCs w:val="19"/>
              </w:rPr>
              <w:t>Rovnako nebol návrh oficiálne prerokovaný v Rade vlády Slovenskej republiky pre duševné zdravie, v metodickej rade centier poradenstva a prevencie ani vo Výskumnom ústave detskej psychológie a patopsychológie (</w:t>
            </w:r>
            <w:proofErr w:type="spellStart"/>
            <w:r w:rsidRPr="00C2761C">
              <w:rPr>
                <w:sz w:val="19"/>
                <w:szCs w:val="19"/>
              </w:rPr>
              <w:t>VUDPaP</w:t>
            </w:r>
            <w:proofErr w:type="spellEnd"/>
            <w:r w:rsidRPr="00C2761C">
              <w:rPr>
                <w:sz w:val="19"/>
                <w:szCs w:val="19"/>
              </w:rPr>
              <w:t xml:space="preserve">), hoci ide o orgány priamo dotknuté vecným obsahom návrhu (pozri riadky 3, 6, 12, 15, 18 – 21). S odbornou verejnosťou (profesijnými komorami, mimovládnymi organizáciami pôsobiacimi v oblasti prevencie a ochrany detí, školskými a odbornými združeniami) neprebehla žiadna </w:t>
            </w:r>
            <w:proofErr w:type="spellStart"/>
            <w:r w:rsidRPr="00C2761C">
              <w:rPr>
                <w:sz w:val="19"/>
                <w:szCs w:val="19"/>
              </w:rPr>
              <w:t>participatívna</w:t>
            </w:r>
            <w:proofErr w:type="spellEnd"/>
            <w:r w:rsidRPr="00C2761C">
              <w:rPr>
                <w:sz w:val="19"/>
                <w:szCs w:val="19"/>
              </w:rPr>
              <w:t xml:space="preserve"> príprava.</w:t>
            </w:r>
          </w:p>
          <w:p w14:paraId="292092A1" w14:textId="3FF73E35" w:rsidR="00691FDD" w:rsidRPr="00C2761C" w:rsidRDefault="00691FDD" w:rsidP="00691FDD">
            <w:pPr>
              <w:spacing w:after="100"/>
              <w:rPr>
                <w:b/>
                <w:bCs/>
                <w:caps/>
                <w:color w:val="B00000"/>
                <w:sz w:val="19"/>
                <w:szCs w:val="19"/>
              </w:rPr>
            </w:pPr>
            <w:r w:rsidRPr="00C2761C">
              <w:rPr>
                <w:sz w:val="19"/>
                <w:szCs w:val="19"/>
              </w:rPr>
              <w:t xml:space="preserve">Predloženie takto pripraveného návrhu do </w:t>
            </w:r>
            <w:proofErr w:type="spellStart"/>
            <w:r w:rsidRPr="00C2761C">
              <w:rPr>
                <w:sz w:val="19"/>
                <w:szCs w:val="19"/>
              </w:rPr>
              <w:t>MPK</w:t>
            </w:r>
            <w:proofErr w:type="spellEnd"/>
            <w:r w:rsidRPr="00C2761C">
              <w:rPr>
                <w:sz w:val="19"/>
                <w:szCs w:val="19"/>
              </w:rPr>
              <w:t xml:space="preserve"> so Správou o účasti verejnosti, ktorá nezodpovedá realite, je v priamom rozpore s účelom, pre ktorý bola táto povinná súčasť predkladacích dokumentov zavedená Legislatívnymi pravidlami vlády SR – totiž aby legislatívny proces bol transparentný a odborne aj spoločensky overený ešte pred medzirezortným pripomienkovým konaním. Nie je jasné, ako chce </w:t>
            </w:r>
            <w:proofErr w:type="spellStart"/>
            <w:r w:rsidRPr="00C2761C">
              <w:rPr>
                <w:sz w:val="19"/>
                <w:szCs w:val="19"/>
              </w:rPr>
              <w:t>MŠVVaM</w:t>
            </w:r>
            <w:proofErr w:type="spellEnd"/>
            <w:r w:rsidRPr="00C2761C">
              <w:rPr>
                <w:sz w:val="19"/>
                <w:szCs w:val="19"/>
              </w:rPr>
              <w:t xml:space="preserve"> SR prevziať rolu nadrezortného koordinátora v tak vážnej téme a vygenerovať národného koordinátora, ktorý má naprieč spektra byť vzorom spolupráce v téme, keď už príprava tohto zákona vykazuje absenciu schopnosti spolupráce a koordinácie. Spolupráca je prvok demokracie a nie mocenského riadenia zhora.</w:t>
            </w:r>
          </w:p>
        </w:tc>
      </w:tr>
      <w:tr w:rsidR="00691FDD" w:rsidRPr="00C2761C" w14:paraId="3F1C5318" w14:textId="77777777">
        <w:tc>
          <w:tcPr>
            <w:tcW w:w="500" w:type="dxa"/>
            <w:tcMar>
              <w:top w:w="80" w:type="dxa"/>
              <w:left w:w="80" w:type="dxa"/>
              <w:bottom w:w="80" w:type="dxa"/>
              <w:right w:w="80" w:type="dxa"/>
            </w:tcMar>
          </w:tcPr>
          <w:p w14:paraId="3F1C5310" w14:textId="503BED7A" w:rsidR="00691FDD" w:rsidRPr="00C2761C" w:rsidRDefault="00691FDD" w:rsidP="00691FDD">
            <w:pPr>
              <w:spacing w:after="100"/>
            </w:pPr>
            <w:r w:rsidRPr="00C2761C">
              <w:rPr>
                <w:b/>
                <w:bCs/>
              </w:rPr>
              <w:lastRenderedPageBreak/>
              <w:t>19</w:t>
            </w:r>
          </w:p>
        </w:tc>
        <w:tc>
          <w:tcPr>
            <w:tcW w:w="2000" w:type="dxa"/>
            <w:tcMar>
              <w:top w:w="80" w:type="dxa"/>
              <w:left w:w="80" w:type="dxa"/>
              <w:bottom w:w="80" w:type="dxa"/>
              <w:right w:w="80" w:type="dxa"/>
            </w:tcMar>
          </w:tcPr>
          <w:p w14:paraId="3F1C5311" w14:textId="0B1A47F5" w:rsidR="00691FDD" w:rsidRPr="00C2761C" w:rsidRDefault="00691FDD" w:rsidP="00691FDD">
            <w:pPr>
              <w:spacing w:after="100"/>
            </w:pPr>
            <w:r w:rsidRPr="00C2761C">
              <w:rPr>
                <w:b/>
                <w:bCs/>
                <w:sz w:val="19"/>
                <w:szCs w:val="19"/>
              </w:rPr>
              <w:t xml:space="preserve">§ 3 zákona č. 453/2003 Z. z. (čl. III zákona </w:t>
            </w:r>
            <w:proofErr w:type="spellStart"/>
            <w:r w:rsidRPr="00C2761C">
              <w:rPr>
                <w:b/>
                <w:bCs/>
                <w:sz w:val="19"/>
                <w:szCs w:val="19"/>
              </w:rPr>
              <w:t>Derad</w:t>
            </w:r>
            <w:proofErr w:type="spellEnd"/>
            <w:r w:rsidRPr="00C2761C">
              <w:rPr>
                <w:b/>
                <w:bCs/>
                <w:sz w:val="19"/>
                <w:szCs w:val="19"/>
              </w:rPr>
              <w:t>) – legislatívne ukotvenie koordinátora ochrany detí pred násilím</w:t>
            </w:r>
          </w:p>
        </w:tc>
        <w:tc>
          <w:tcPr>
            <w:tcW w:w="13000" w:type="dxa"/>
            <w:tcMar>
              <w:top w:w="80" w:type="dxa"/>
              <w:left w:w="80" w:type="dxa"/>
              <w:bottom w:w="80" w:type="dxa"/>
              <w:right w:w="80" w:type="dxa"/>
            </w:tcMar>
          </w:tcPr>
          <w:p w14:paraId="0A47272C" w14:textId="77777777" w:rsidR="00691FDD" w:rsidRPr="00C2761C" w:rsidRDefault="00691FDD" w:rsidP="00691FDD">
            <w:pPr>
              <w:spacing w:after="100"/>
            </w:pPr>
            <w:r w:rsidRPr="00C2761C">
              <w:rPr>
                <w:b/>
                <w:bCs/>
                <w:caps/>
                <w:color w:val="B00000"/>
                <w:sz w:val="19"/>
                <w:szCs w:val="19"/>
              </w:rPr>
              <w:t>ZÁSADNÁ</w:t>
            </w:r>
          </w:p>
          <w:p w14:paraId="66B67A0E" w14:textId="77777777" w:rsidR="00691FDD" w:rsidRPr="00C2761C" w:rsidRDefault="00691FDD" w:rsidP="00691FDD">
            <w:pPr>
              <w:spacing w:after="60"/>
              <w:rPr>
                <w:b/>
                <w:bCs/>
                <w:sz w:val="19"/>
                <w:szCs w:val="19"/>
              </w:rPr>
            </w:pPr>
            <w:r w:rsidRPr="00C2761C">
              <w:rPr>
                <w:b/>
                <w:bCs/>
                <w:sz w:val="19"/>
                <w:szCs w:val="19"/>
              </w:rPr>
              <w:t>Návrh zmeny:</w:t>
            </w:r>
          </w:p>
          <w:p w14:paraId="01755856" w14:textId="77777777" w:rsidR="00691FDD" w:rsidRPr="00C2761C" w:rsidRDefault="00691FDD" w:rsidP="00691FDD">
            <w:pPr>
              <w:spacing w:after="60"/>
            </w:pPr>
            <w:r w:rsidRPr="00C2761C">
              <w:rPr>
                <w:sz w:val="19"/>
                <w:szCs w:val="19"/>
              </w:rPr>
              <w:t>V čl. III (novela zákona č. 453/2003 Z. z.) doplniť: § 3 ods. 1 písm. n) doplniť o slová „a vykonáva úlohy koordinátora ochrany detí pred násilím“; § 3 ods. 2 písm. d) doplniť „zriaďuje pracovnú pozíciu koordinátora ochrany detí pred násilím“; nový § 3 ods. 3 s taxatívnym výpočtom kompetencií (písm. a) až h)), vrátane organizácie multidisciplinárneho vzdelávania, preventívnych a osvetových aktivít, zberu a analýzy dát, sieťovania, identifikácie výziev a organizácie multidisciplinárnych expertných podporných tímov; doplnenie § 3 o oprávnenie spracúvať a poskytovať osobné údaje dieťaťa (meno, priezvisko, dátum narodenia, adresa pobytu) a o povinnosť mlčanlivosti účastníkov multidisciplinárneho stretnutia s odkazom na § 79 zákona č. 18/2018 Z. z.</w:t>
            </w:r>
          </w:p>
          <w:p w14:paraId="0DCA8847" w14:textId="77777777" w:rsidR="00691FDD" w:rsidRPr="00C2761C" w:rsidRDefault="00691FDD" w:rsidP="00691FDD">
            <w:pPr>
              <w:spacing w:after="60"/>
            </w:pPr>
            <w:r w:rsidRPr="00C2761C">
              <w:rPr>
                <w:b/>
                <w:bCs/>
                <w:sz w:val="19"/>
                <w:szCs w:val="19"/>
              </w:rPr>
              <w:t>Odôvodnenie:</w:t>
            </w:r>
          </w:p>
          <w:p w14:paraId="2DDAC5A4" w14:textId="77777777" w:rsidR="00691FDD" w:rsidRPr="00C2761C" w:rsidRDefault="00691FDD" w:rsidP="00691FDD">
            <w:pPr>
              <w:spacing w:after="100"/>
              <w:rPr>
                <w:sz w:val="19"/>
                <w:szCs w:val="19"/>
              </w:rPr>
            </w:pPr>
            <w:r w:rsidRPr="00C2761C">
              <w:rPr>
                <w:sz w:val="19"/>
                <w:szCs w:val="19"/>
              </w:rPr>
              <w:t xml:space="preserve">Bez tohto ukotvenia nemá koordinátor ochrany detí pred násilím zákonný podklad na to, aby ho regionálny koordinátor podľa </w:t>
            </w:r>
            <w:proofErr w:type="spellStart"/>
            <w:r w:rsidRPr="00C2761C">
              <w:rPr>
                <w:sz w:val="19"/>
                <w:szCs w:val="19"/>
              </w:rPr>
              <w:t>Deradu</w:t>
            </w:r>
            <w:proofErr w:type="spellEnd"/>
            <w:r w:rsidRPr="00C2761C">
              <w:rPr>
                <w:sz w:val="19"/>
                <w:szCs w:val="19"/>
              </w:rPr>
              <w:t xml:space="preserve"> mohol poveriť vedením koordinačnej skupiny, ani zákonný podklad na prácu s osobnými údajmi dieťaťa v rámci multidisciplinárnych stretnutí, ktoré dnes v praxi fakticky vedie nielen pri </w:t>
            </w:r>
            <w:proofErr w:type="spellStart"/>
            <w:r w:rsidRPr="00C2761C">
              <w:rPr>
                <w:sz w:val="19"/>
                <w:szCs w:val="19"/>
              </w:rPr>
              <w:t>derad</w:t>
            </w:r>
            <w:proofErr w:type="spellEnd"/>
            <w:r w:rsidRPr="00C2761C">
              <w:rPr>
                <w:sz w:val="19"/>
                <w:szCs w:val="19"/>
              </w:rPr>
              <w:t xml:space="preserve"> aktivitách, ale aj pri aktivitách násilia páchaného na deťoch.</w:t>
            </w:r>
          </w:p>
          <w:p w14:paraId="3CDCEC3F" w14:textId="77777777" w:rsidR="00691FDD" w:rsidRPr="00C2761C" w:rsidRDefault="00691FDD" w:rsidP="00691FDD">
            <w:pPr>
              <w:spacing w:after="100"/>
            </w:pPr>
            <w:r w:rsidRPr="00C2761C">
              <w:rPr>
                <w:sz w:val="19"/>
                <w:szCs w:val="19"/>
              </w:rPr>
              <w:t xml:space="preserve">Na expertnom stretnutí 2. 7. 2026 minister školstva prisľúbil, že výkon koordinačných skupín zverí koordinátorom ochrany detí pred násilím, pričom regionálny koordinátor ich bude poverovať konkrétnymi prípadmi. Toto riešenie znižuje riziko duplicitnej štruktúry len za predpokladu, že funkcia koordinátora ochrany detí pred násilím bude v zákone riadne zadefinovaná – dnes táto pozícia ako legislatívne ukotvená kategória chýba, čo vytvára právnu neistotu pri poverovaní (kompetencie, práca s osobnými údajmi dieťaťa). </w:t>
            </w:r>
          </w:p>
          <w:p w14:paraId="3F1C5317" w14:textId="02600FE9" w:rsidR="00691FDD" w:rsidRPr="00C2761C" w:rsidRDefault="00691FDD" w:rsidP="00691FDD">
            <w:pPr>
              <w:spacing w:after="100"/>
            </w:pPr>
            <w:r w:rsidRPr="00C2761C">
              <w:rPr>
                <w:sz w:val="19"/>
                <w:szCs w:val="19"/>
              </w:rPr>
              <w:t xml:space="preserve">Legislatívne ukotvenie stabilizuje existujúcu, Európskou komisiou oceňovanú sieť koordinátorov, čím posilňuje argument nadbytočnosti paralelnej vrstvy nových regionálnych koordinátorov na ministerstve školstva. MPSVaR okrem iného už 8 rokov financuje tieto pozície cez </w:t>
            </w:r>
            <w:proofErr w:type="spellStart"/>
            <w:r w:rsidRPr="00C2761C">
              <w:rPr>
                <w:sz w:val="19"/>
                <w:szCs w:val="19"/>
              </w:rPr>
              <w:t>EŠIF</w:t>
            </w:r>
            <w:proofErr w:type="spellEnd"/>
            <w:r w:rsidRPr="00C2761C">
              <w:rPr>
                <w:sz w:val="19"/>
                <w:szCs w:val="19"/>
              </w:rPr>
              <w:t xml:space="preserve"> a na jeseň chce požiadať o </w:t>
            </w:r>
            <w:proofErr w:type="spellStart"/>
            <w:r w:rsidRPr="00C2761C">
              <w:rPr>
                <w:sz w:val="19"/>
                <w:szCs w:val="19"/>
              </w:rPr>
              <w:t>preschválenie</w:t>
            </w:r>
            <w:proofErr w:type="spellEnd"/>
            <w:r w:rsidRPr="00C2761C">
              <w:rPr>
                <w:sz w:val="19"/>
                <w:szCs w:val="19"/>
              </w:rPr>
              <w:t xml:space="preserve"> o rok bez toho, aby za tak dlhý čas o nich v zákone uviedol </w:t>
            </w:r>
            <w:proofErr w:type="spellStart"/>
            <w:r w:rsidRPr="00C2761C">
              <w:rPr>
                <w:sz w:val="19"/>
                <w:szCs w:val="19"/>
              </w:rPr>
              <w:t>čoilen</w:t>
            </w:r>
            <w:proofErr w:type="spellEnd"/>
            <w:r w:rsidRPr="00C2761C">
              <w:rPr>
                <w:sz w:val="19"/>
                <w:szCs w:val="19"/>
              </w:rPr>
              <w:t xml:space="preserve"> zmienku, hoci to opakovane rezort prisľúbil. Problematika násilia na deťoch je priveľmi závažná na to, aby </w:t>
            </w:r>
            <w:r w:rsidRPr="00C2761C">
              <w:rPr>
                <w:sz w:val="19"/>
                <w:szCs w:val="19"/>
              </w:rPr>
              <w:lastRenderedPageBreak/>
              <w:t xml:space="preserve">ostala definovaná iba vágne a všeobecne, o to viac že ide o 46 ľudí, nie o jednotky ľudí. Zároveň ide o odborníkov, ktorí riešia širokú agendu. 8 rokov fungujúci koordinátori musia mať právne ukotvenie podobne ako dnes majú </w:t>
            </w:r>
            <w:proofErr w:type="spellStart"/>
            <w:r w:rsidRPr="00C2761C">
              <w:rPr>
                <w:sz w:val="19"/>
                <w:szCs w:val="19"/>
              </w:rPr>
              <w:t>PZ</w:t>
            </w:r>
            <w:proofErr w:type="spellEnd"/>
            <w:r w:rsidRPr="00C2761C">
              <w:rPr>
                <w:sz w:val="19"/>
                <w:szCs w:val="19"/>
              </w:rPr>
              <w:t xml:space="preserve"> a </w:t>
            </w:r>
            <w:proofErr w:type="spellStart"/>
            <w:r w:rsidRPr="00C2761C">
              <w:rPr>
                <w:sz w:val="19"/>
                <w:szCs w:val="19"/>
              </w:rPr>
              <w:t>OZ</w:t>
            </w:r>
            <w:proofErr w:type="spellEnd"/>
            <w:r w:rsidRPr="00C2761C">
              <w:rPr>
                <w:sz w:val="19"/>
                <w:szCs w:val="19"/>
              </w:rPr>
              <w:t xml:space="preserve"> v zákone 138/2019 (vrátane napr. </w:t>
            </w:r>
            <w:proofErr w:type="spellStart"/>
            <w:r w:rsidRPr="00C2761C">
              <w:rPr>
                <w:sz w:val="19"/>
                <w:szCs w:val="19"/>
              </w:rPr>
              <w:t>novovzniknutnej</w:t>
            </w:r>
            <w:proofErr w:type="spellEnd"/>
            <w:r w:rsidRPr="00C2761C">
              <w:rPr>
                <w:sz w:val="19"/>
                <w:szCs w:val="19"/>
              </w:rPr>
              <w:t xml:space="preserve"> pozície pedagogického asistenta), rovnako ako máme v rezorte školstva koordinátorov prevencie, koordinátorov </w:t>
            </w:r>
            <w:proofErr w:type="spellStart"/>
            <w:r w:rsidRPr="00C2761C">
              <w:rPr>
                <w:sz w:val="19"/>
                <w:szCs w:val="19"/>
              </w:rPr>
              <w:t>ŠPT</w:t>
            </w:r>
            <w:proofErr w:type="spellEnd"/>
            <w:r w:rsidRPr="00C2761C">
              <w:rPr>
                <w:sz w:val="19"/>
                <w:szCs w:val="19"/>
              </w:rPr>
              <w:t xml:space="preserve">. Ale aj v iných rezortoch, napr. pripravované ukotvenie kancelárii pre obete trestných činov. </w:t>
            </w:r>
          </w:p>
        </w:tc>
      </w:tr>
    </w:tbl>
    <w:p w14:paraId="484DB2E9" w14:textId="77777777" w:rsidR="005E425D" w:rsidRPr="00C2761C" w:rsidRDefault="005E425D"/>
    <w:sectPr w:rsidR="005E425D" w:rsidRPr="00C2761C">
      <w:pgSz w:w="16838" w:h="11906" w:orient="landscape"/>
      <w:pgMar w:top="600" w:right="500" w:bottom="6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B6FF" w14:textId="77777777" w:rsidR="00CB44BE" w:rsidRDefault="00CB44BE" w:rsidP="006E1DA8">
      <w:r>
        <w:separator/>
      </w:r>
    </w:p>
  </w:endnote>
  <w:endnote w:type="continuationSeparator" w:id="0">
    <w:p w14:paraId="12D50911" w14:textId="77777777" w:rsidR="00CB44BE" w:rsidRDefault="00CB44BE" w:rsidP="006E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289D" w14:textId="77777777" w:rsidR="00CB44BE" w:rsidRDefault="00CB44BE" w:rsidP="006E1DA8">
      <w:r>
        <w:separator/>
      </w:r>
    </w:p>
  </w:footnote>
  <w:footnote w:type="continuationSeparator" w:id="0">
    <w:p w14:paraId="16B97743" w14:textId="77777777" w:rsidR="00CB44BE" w:rsidRDefault="00CB44BE" w:rsidP="006E1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007A1"/>
    <w:multiLevelType w:val="hybridMultilevel"/>
    <w:tmpl w:val="63F641BC"/>
    <w:lvl w:ilvl="0" w:tplc="2368D9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C9267F6"/>
    <w:multiLevelType w:val="hybridMultilevel"/>
    <w:tmpl w:val="84A051EC"/>
    <w:lvl w:ilvl="0" w:tplc="5E1E3E2E">
      <w:start w:val="1"/>
      <w:numFmt w:val="bullet"/>
      <w:lvlText w:val="●"/>
      <w:lvlJc w:val="left"/>
      <w:pPr>
        <w:ind w:left="720" w:hanging="360"/>
      </w:pPr>
    </w:lvl>
    <w:lvl w:ilvl="1" w:tplc="B3CE92D8">
      <w:start w:val="1"/>
      <w:numFmt w:val="bullet"/>
      <w:lvlText w:val="○"/>
      <w:lvlJc w:val="left"/>
      <w:pPr>
        <w:ind w:left="1440" w:hanging="360"/>
      </w:pPr>
    </w:lvl>
    <w:lvl w:ilvl="2" w:tplc="EE9A4944">
      <w:start w:val="1"/>
      <w:numFmt w:val="bullet"/>
      <w:lvlText w:val="■"/>
      <w:lvlJc w:val="left"/>
      <w:pPr>
        <w:ind w:left="2160" w:hanging="360"/>
      </w:pPr>
    </w:lvl>
    <w:lvl w:ilvl="3" w:tplc="46546652">
      <w:start w:val="1"/>
      <w:numFmt w:val="bullet"/>
      <w:lvlText w:val="●"/>
      <w:lvlJc w:val="left"/>
      <w:pPr>
        <w:ind w:left="2880" w:hanging="360"/>
      </w:pPr>
    </w:lvl>
    <w:lvl w:ilvl="4" w:tplc="DC487302">
      <w:start w:val="1"/>
      <w:numFmt w:val="bullet"/>
      <w:lvlText w:val="○"/>
      <w:lvlJc w:val="left"/>
      <w:pPr>
        <w:ind w:left="3600" w:hanging="360"/>
      </w:pPr>
    </w:lvl>
    <w:lvl w:ilvl="5" w:tplc="A57645EA">
      <w:start w:val="1"/>
      <w:numFmt w:val="bullet"/>
      <w:lvlText w:val="■"/>
      <w:lvlJc w:val="left"/>
      <w:pPr>
        <w:ind w:left="4320" w:hanging="360"/>
      </w:pPr>
    </w:lvl>
    <w:lvl w:ilvl="6" w:tplc="9CCE066A">
      <w:start w:val="1"/>
      <w:numFmt w:val="bullet"/>
      <w:lvlText w:val="●"/>
      <w:lvlJc w:val="left"/>
      <w:pPr>
        <w:ind w:left="5040" w:hanging="360"/>
      </w:pPr>
    </w:lvl>
    <w:lvl w:ilvl="7" w:tplc="500E8578">
      <w:start w:val="1"/>
      <w:numFmt w:val="bullet"/>
      <w:lvlText w:val="●"/>
      <w:lvlJc w:val="left"/>
      <w:pPr>
        <w:ind w:left="5760" w:hanging="360"/>
      </w:pPr>
    </w:lvl>
    <w:lvl w:ilvl="8" w:tplc="AAD68092">
      <w:start w:val="1"/>
      <w:numFmt w:val="bullet"/>
      <w:lvlText w:val="●"/>
      <w:lvlJc w:val="left"/>
      <w:pPr>
        <w:ind w:left="6480" w:hanging="360"/>
      </w:pPr>
    </w:lvl>
  </w:abstractNum>
  <w:abstractNum w:abstractNumId="2" w15:restartNumberingAfterBreak="0">
    <w:nsid w:val="71D66F9E"/>
    <w:multiLevelType w:val="hybridMultilevel"/>
    <w:tmpl w:val="AA6ED55E"/>
    <w:lvl w:ilvl="0" w:tplc="05AAC23C">
      <w:start w:val="1"/>
      <w:numFmt w:val="bullet"/>
      <w:lvlText w:val="●"/>
      <w:lvlJc w:val="left"/>
      <w:pPr>
        <w:ind w:left="720" w:hanging="360"/>
      </w:pPr>
    </w:lvl>
    <w:lvl w:ilvl="1" w:tplc="08481E06">
      <w:start w:val="1"/>
      <w:numFmt w:val="bullet"/>
      <w:lvlText w:val="○"/>
      <w:lvlJc w:val="left"/>
      <w:pPr>
        <w:ind w:left="1440" w:hanging="360"/>
      </w:pPr>
    </w:lvl>
    <w:lvl w:ilvl="2" w:tplc="1B7A69E6">
      <w:start w:val="1"/>
      <w:numFmt w:val="bullet"/>
      <w:lvlText w:val="■"/>
      <w:lvlJc w:val="left"/>
      <w:pPr>
        <w:ind w:left="2160" w:hanging="360"/>
      </w:pPr>
    </w:lvl>
    <w:lvl w:ilvl="3" w:tplc="3D16C53A">
      <w:start w:val="1"/>
      <w:numFmt w:val="bullet"/>
      <w:lvlText w:val="●"/>
      <w:lvlJc w:val="left"/>
      <w:pPr>
        <w:ind w:left="2880" w:hanging="360"/>
      </w:pPr>
    </w:lvl>
    <w:lvl w:ilvl="4" w:tplc="DB30478E">
      <w:start w:val="1"/>
      <w:numFmt w:val="bullet"/>
      <w:lvlText w:val="○"/>
      <w:lvlJc w:val="left"/>
      <w:pPr>
        <w:ind w:left="3600" w:hanging="360"/>
      </w:pPr>
    </w:lvl>
    <w:lvl w:ilvl="5" w:tplc="8432D494">
      <w:start w:val="1"/>
      <w:numFmt w:val="bullet"/>
      <w:lvlText w:val="■"/>
      <w:lvlJc w:val="left"/>
      <w:pPr>
        <w:ind w:left="4320" w:hanging="360"/>
      </w:pPr>
    </w:lvl>
    <w:lvl w:ilvl="6" w:tplc="EB049D2E">
      <w:start w:val="1"/>
      <w:numFmt w:val="bullet"/>
      <w:lvlText w:val="●"/>
      <w:lvlJc w:val="left"/>
      <w:pPr>
        <w:ind w:left="5040" w:hanging="360"/>
      </w:pPr>
    </w:lvl>
    <w:lvl w:ilvl="7" w:tplc="9DDA426E">
      <w:start w:val="1"/>
      <w:numFmt w:val="bullet"/>
      <w:lvlText w:val="●"/>
      <w:lvlJc w:val="left"/>
      <w:pPr>
        <w:ind w:left="5760" w:hanging="360"/>
      </w:pPr>
    </w:lvl>
    <w:lvl w:ilvl="8" w:tplc="C77A2306">
      <w:start w:val="1"/>
      <w:numFmt w:val="bullet"/>
      <w:lvlText w:val="●"/>
      <w:lvlJc w:val="left"/>
      <w:pPr>
        <w:ind w:left="6480" w:hanging="360"/>
      </w:pPr>
    </w:lvl>
  </w:abstractNum>
  <w:num w:numId="1" w16cid:durableId="106780894">
    <w:abstractNumId w:val="1"/>
    <w:lvlOverride w:ilvl="0">
      <w:startOverride w:val="1"/>
    </w:lvlOverride>
  </w:num>
  <w:num w:numId="2" w16cid:durableId="971401343">
    <w:abstractNumId w:val="2"/>
  </w:num>
  <w:num w:numId="3" w16cid:durableId="137207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CEC"/>
    <w:rsid w:val="00014BDF"/>
    <w:rsid w:val="00030E3E"/>
    <w:rsid w:val="00032F9A"/>
    <w:rsid w:val="00040C6C"/>
    <w:rsid w:val="000530BC"/>
    <w:rsid w:val="000668C3"/>
    <w:rsid w:val="000714D4"/>
    <w:rsid w:val="0007324C"/>
    <w:rsid w:val="000A524C"/>
    <w:rsid w:val="000B0120"/>
    <w:rsid w:val="000C134C"/>
    <w:rsid w:val="000C4C45"/>
    <w:rsid w:val="000C71DE"/>
    <w:rsid w:val="000E5D37"/>
    <w:rsid w:val="000F5405"/>
    <w:rsid w:val="00102131"/>
    <w:rsid w:val="001110F9"/>
    <w:rsid w:val="00122439"/>
    <w:rsid w:val="00134B20"/>
    <w:rsid w:val="00137336"/>
    <w:rsid w:val="0015069A"/>
    <w:rsid w:val="0018669E"/>
    <w:rsid w:val="00190BC9"/>
    <w:rsid w:val="00193526"/>
    <w:rsid w:val="001B4169"/>
    <w:rsid w:val="001C574B"/>
    <w:rsid w:val="001E20FB"/>
    <w:rsid w:val="00215A7B"/>
    <w:rsid w:val="00216D02"/>
    <w:rsid w:val="00224AB2"/>
    <w:rsid w:val="00260CF4"/>
    <w:rsid w:val="00272398"/>
    <w:rsid w:val="00287EE6"/>
    <w:rsid w:val="002935DB"/>
    <w:rsid w:val="00294999"/>
    <w:rsid w:val="002A65CD"/>
    <w:rsid w:val="002E7795"/>
    <w:rsid w:val="00302C0D"/>
    <w:rsid w:val="0031565B"/>
    <w:rsid w:val="00321CB0"/>
    <w:rsid w:val="00362B44"/>
    <w:rsid w:val="00363071"/>
    <w:rsid w:val="003678BA"/>
    <w:rsid w:val="0039682A"/>
    <w:rsid w:val="003A5A4F"/>
    <w:rsid w:val="003A6A32"/>
    <w:rsid w:val="003C5906"/>
    <w:rsid w:val="003D3717"/>
    <w:rsid w:val="003F2D28"/>
    <w:rsid w:val="00405308"/>
    <w:rsid w:val="0042704A"/>
    <w:rsid w:val="004350D4"/>
    <w:rsid w:val="0044090F"/>
    <w:rsid w:val="004467B8"/>
    <w:rsid w:val="00451B74"/>
    <w:rsid w:val="00451BCB"/>
    <w:rsid w:val="0046525E"/>
    <w:rsid w:val="004739B2"/>
    <w:rsid w:val="004743F6"/>
    <w:rsid w:val="004849F5"/>
    <w:rsid w:val="00485FAC"/>
    <w:rsid w:val="0048674D"/>
    <w:rsid w:val="00497DE3"/>
    <w:rsid w:val="004D35C8"/>
    <w:rsid w:val="004E39EA"/>
    <w:rsid w:val="00502882"/>
    <w:rsid w:val="00505A79"/>
    <w:rsid w:val="005259FF"/>
    <w:rsid w:val="0053708D"/>
    <w:rsid w:val="00545EEB"/>
    <w:rsid w:val="00565A3F"/>
    <w:rsid w:val="00573DB2"/>
    <w:rsid w:val="00593EA6"/>
    <w:rsid w:val="005A05DF"/>
    <w:rsid w:val="005B3D74"/>
    <w:rsid w:val="005B5118"/>
    <w:rsid w:val="005B791E"/>
    <w:rsid w:val="005E16A2"/>
    <w:rsid w:val="005E425D"/>
    <w:rsid w:val="005E74FF"/>
    <w:rsid w:val="005F3ABA"/>
    <w:rsid w:val="006020B1"/>
    <w:rsid w:val="00624B91"/>
    <w:rsid w:val="00637825"/>
    <w:rsid w:val="00655FDF"/>
    <w:rsid w:val="00664F1A"/>
    <w:rsid w:val="00665704"/>
    <w:rsid w:val="00665995"/>
    <w:rsid w:val="006828A2"/>
    <w:rsid w:val="00691FDD"/>
    <w:rsid w:val="006D4EBD"/>
    <w:rsid w:val="006D5834"/>
    <w:rsid w:val="006E1DA8"/>
    <w:rsid w:val="006F2544"/>
    <w:rsid w:val="007120D7"/>
    <w:rsid w:val="007229F6"/>
    <w:rsid w:val="007300CA"/>
    <w:rsid w:val="00740EE3"/>
    <w:rsid w:val="0076472A"/>
    <w:rsid w:val="00770342"/>
    <w:rsid w:val="00775466"/>
    <w:rsid w:val="00775C49"/>
    <w:rsid w:val="007A6A84"/>
    <w:rsid w:val="007B37EC"/>
    <w:rsid w:val="007B7CEC"/>
    <w:rsid w:val="007C5EB8"/>
    <w:rsid w:val="007D05C5"/>
    <w:rsid w:val="007E1D73"/>
    <w:rsid w:val="007E36E6"/>
    <w:rsid w:val="007F0E83"/>
    <w:rsid w:val="007F1F44"/>
    <w:rsid w:val="007F4E83"/>
    <w:rsid w:val="00803E94"/>
    <w:rsid w:val="008121FD"/>
    <w:rsid w:val="00820231"/>
    <w:rsid w:val="00822639"/>
    <w:rsid w:val="00824667"/>
    <w:rsid w:val="008365B8"/>
    <w:rsid w:val="00846CB5"/>
    <w:rsid w:val="00861054"/>
    <w:rsid w:val="008619E5"/>
    <w:rsid w:val="00875F08"/>
    <w:rsid w:val="00880EED"/>
    <w:rsid w:val="00887923"/>
    <w:rsid w:val="008B508B"/>
    <w:rsid w:val="008D1B7F"/>
    <w:rsid w:val="00906393"/>
    <w:rsid w:val="00916CA2"/>
    <w:rsid w:val="0092491A"/>
    <w:rsid w:val="00925C3D"/>
    <w:rsid w:val="00927576"/>
    <w:rsid w:val="00941C1F"/>
    <w:rsid w:val="00952120"/>
    <w:rsid w:val="0095437F"/>
    <w:rsid w:val="00991E5B"/>
    <w:rsid w:val="0099314B"/>
    <w:rsid w:val="009935FF"/>
    <w:rsid w:val="009A2174"/>
    <w:rsid w:val="009B4E2D"/>
    <w:rsid w:val="009F7652"/>
    <w:rsid w:val="00A05B67"/>
    <w:rsid w:val="00A22E64"/>
    <w:rsid w:val="00A36AE3"/>
    <w:rsid w:val="00A64ECA"/>
    <w:rsid w:val="00A6526F"/>
    <w:rsid w:val="00A75C3F"/>
    <w:rsid w:val="00AA2BF9"/>
    <w:rsid w:val="00AA367C"/>
    <w:rsid w:val="00AA41B7"/>
    <w:rsid w:val="00AA68B8"/>
    <w:rsid w:val="00AB656B"/>
    <w:rsid w:val="00AC1ACF"/>
    <w:rsid w:val="00AC585F"/>
    <w:rsid w:val="00AD7624"/>
    <w:rsid w:val="00AE1BE9"/>
    <w:rsid w:val="00AF30A0"/>
    <w:rsid w:val="00AF42D7"/>
    <w:rsid w:val="00B27F4A"/>
    <w:rsid w:val="00B5702D"/>
    <w:rsid w:val="00B61738"/>
    <w:rsid w:val="00B70580"/>
    <w:rsid w:val="00B92A41"/>
    <w:rsid w:val="00B951EE"/>
    <w:rsid w:val="00BB424E"/>
    <w:rsid w:val="00BB5746"/>
    <w:rsid w:val="00BE032A"/>
    <w:rsid w:val="00BF142C"/>
    <w:rsid w:val="00BF3AE8"/>
    <w:rsid w:val="00C05311"/>
    <w:rsid w:val="00C076BA"/>
    <w:rsid w:val="00C14A3C"/>
    <w:rsid w:val="00C16028"/>
    <w:rsid w:val="00C2761C"/>
    <w:rsid w:val="00C44409"/>
    <w:rsid w:val="00C827B9"/>
    <w:rsid w:val="00CB44BE"/>
    <w:rsid w:val="00CE5CE1"/>
    <w:rsid w:val="00D051E9"/>
    <w:rsid w:val="00D0591C"/>
    <w:rsid w:val="00D25933"/>
    <w:rsid w:val="00D31E10"/>
    <w:rsid w:val="00D41279"/>
    <w:rsid w:val="00D4286A"/>
    <w:rsid w:val="00D43369"/>
    <w:rsid w:val="00D57534"/>
    <w:rsid w:val="00D67913"/>
    <w:rsid w:val="00DB4FA2"/>
    <w:rsid w:val="00DC34B8"/>
    <w:rsid w:val="00DD10DA"/>
    <w:rsid w:val="00DD1522"/>
    <w:rsid w:val="00DD4FBD"/>
    <w:rsid w:val="00DE2459"/>
    <w:rsid w:val="00E055E5"/>
    <w:rsid w:val="00E44000"/>
    <w:rsid w:val="00E476B4"/>
    <w:rsid w:val="00EA322A"/>
    <w:rsid w:val="00EA69F2"/>
    <w:rsid w:val="00EB0BB2"/>
    <w:rsid w:val="00EB18E3"/>
    <w:rsid w:val="00EB35C7"/>
    <w:rsid w:val="00EB705F"/>
    <w:rsid w:val="00EC29AB"/>
    <w:rsid w:val="00EC4685"/>
    <w:rsid w:val="00ED204D"/>
    <w:rsid w:val="00EF1E31"/>
    <w:rsid w:val="00F24D30"/>
    <w:rsid w:val="00F47AE0"/>
    <w:rsid w:val="00F61621"/>
    <w:rsid w:val="00F64CD0"/>
    <w:rsid w:val="00F72269"/>
    <w:rsid w:val="00FA023C"/>
    <w:rsid w:val="00FA0D1A"/>
    <w:rsid w:val="00FD33EB"/>
    <w:rsid w:val="00FF02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526C"/>
  <w15:docId w15:val="{F7AD3930-080B-4327-9836-76D096E0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uiPriority w:val="9"/>
    <w:qFormat/>
    <w:pPr>
      <w:outlineLvl w:val="0"/>
    </w:pPr>
    <w:rPr>
      <w:color w:val="2E74B5"/>
      <w:sz w:val="32"/>
      <w:szCs w:val="32"/>
    </w:rPr>
  </w:style>
  <w:style w:type="paragraph" w:styleId="Nadpis2">
    <w:name w:val="heading 2"/>
    <w:uiPriority w:val="9"/>
    <w:semiHidden/>
    <w:unhideWhenUsed/>
    <w:qFormat/>
    <w:pPr>
      <w:outlineLvl w:val="1"/>
    </w:pPr>
    <w:rPr>
      <w:color w:val="2E74B5"/>
      <w:sz w:val="26"/>
      <w:szCs w:val="26"/>
    </w:rPr>
  </w:style>
  <w:style w:type="paragraph" w:styleId="Nadpis3">
    <w:name w:val="heading 3"/>
    <w:uiPriority w:val="9"/>
    <w:semiHidden/>
    <w:unhideWhenUsed/>
    <w:qFormat/>
    <w:pPr>
      <w:outlineLvl w:val="2"/>
    </w:pPr>
    <w:rPr>
      <w:color w:val="1F4D78"/>
      <w:sz w:val="24"/>
      <w:szCs w:val="24"/>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uiPriority w:val="10"/>
    <w:qFormat/>
    <w:rPr>
      <w:sz w:val="56"/>
      <w:szCs w:val="56"/>
    </w:rPr>
  </w:style>
  <w:style w:type="paragraph" w:customStyle="1" w:styleId="Vrazn1">
    <w:name w:val="Výrazný1"/>
    <w:qFormat/>
    <w:rPr>
      <w:b/>
      <w:bCs/>
    </w:rPr>
  </w:style>
  <w:style w:type="paragraph" w:styleId="Odsekzoznamu">
    <w:name w:val="List Paragraph"/>
    <w:qFormat/>
  </w:style>
  <w:style w:type="character" w:styleId="Hypertextovprepojenie">
    <w:name w:val="Hyperlink"/>
    <w:uiPriority w:val="99"/>
    <w:unhideWhenUsed/>
    <w:rPr>
      <w:color w:val="0563C1"/>
      <w:u w:val="single"/>
    </w:rPr>
  </w:style>
  <w:style w:type="character" w:styleId="Odkaznapoznmkupodiarou">
    <w:name w:val="footnote reference"/>
    <w:uiPriority w:val="99"/>
    <w:semiHidden/>
    <w:unhideWhenUsed/>
    <w:rPr>
      <w:vertAlign w:val="superscript"/>
    </w:rPr>
  </w:style>
  <w:style w:type="paragraph" w:styleId="Textpoznmkypodiarou">
    <w:name w:val="footnote text"/>
    <w:link w:val="TextpoznmkypodiarouChar"/>
    <w:uiPriority w:val="99"/>
    <w:semiHidden/>
    <w:unhideWhenUsed/>
  </w:style>
  <w:style w:type="character" w:customStyle="1" w:styleId="TextpoznmkypodiarouChar">
    <w:name w:val="Text poznámky pod čiarou Char"/>
    <w:link w:val="Textpoznmkypodiarou"/>
    <w:uiPriority w:val="99"/>
    <w:semiHidden/>
    <w:unhideWhenUsed/>
    <w:rPr>
      <w:sz w:val="20"/>
      <w:szCs w:val="20"/>
    </w:rPr>
  </w:style>
  <w:style w:type="character" w:styleId="Odkaznavysvetlivku">
    <w:name w:val="endnote reference"/>
    <w:uiPriority w:val="99"/>
    <w:semiHidden/>
    <w:unhideWhenUsed/>
    <w:rPr>
      <w:vertAlign w:val="superscript"/>
    </w:rPr>
  </w:style>
  <w:style w:type="paragraph" w:styleId="Textvysvetlivky">
    <w:name w:val="endnote text"/>
    <w:link w:val="TextvysvetlivkyChar"/>
    <w:uiPriority w:val="99"/>
    <w:semiHidden/>
    <w:unhideWhenUsed/>
  </w:style>
  <w:style w:type="character" w:customStyle="1" w:styleId="TextvysvetlivkyChar">
    <w:name w:val="Text vysvetlivky Char"/>
    <w:link w:val="Textvysvetlivky"/>
    <w:uiPriority w:val="99"/>
    <w:semiHidden/>
    <w:unhideWhenUsed/>
    <w:rPr>
      <w:sz w:val="20"/>
      <w:szCs w:val="20"/>
    </w:rPr>
  </w:style>
  <w:style w:type="paragraph" w:styleId="Hlavika">
    <w:name w:val="header"/>
    <w:basedOn w:val="Normlny"/>
    <w:link w:val="HlavikaChar"/>
    <w:uiPriority w:val="99"/>
    <w:unhideWhenUsed/>
    <w:rsid w:val="006E1DA8"/>
    <w:pPr>
      <w:tabs>
        <w:tab w:val="center" w:pos="4536"/>
        <w:tab w:val="right" w:pos="9072"/>
      </w:tabs>
    </w:pPr>
  </w:style>
  <w:style w:type="character" w:customStyle="1" w:styleId="HlavikaChar">
    <w:name w:val="Hlavička Char"/>
    <w:basedOn w:val="Predvolenpsmoodseku"/>
    <w:link w:val="Hlavika"/>
    <w:uiPriority w:val="99"/>
    <w:rsid w:val="006E1DA8"/>
  </w:style>
  <w:style w:type="paragraph" w:styleId="Pta">
    <w:name w:val="footer"/>
    <w:basedOn w:val="Normlny"/>
    <w:link w:val="PtaChar"/>
    <w:uiPriority w:val="99"/>
    <w:unhideWhenUsed/>
    <w:rsid w:val="006E1DA8"/>
    <w:pPr>
      <w:tabs>
        <w:tab w:val="center" w:pos="4536"/>
        <w:tab w:val="right" w:pos="9072"/>
      </w:tabs>
    </w:pPr>
  </w:style>
  <w:style w:type="character" w:customStyle="1" w:styleId="PtaChar">
    <w:name w:val="Päta Char"/>
    <w:basedOn w:val="Predvolenpsmoodseku"/>
    <w:link w:val="Pta"/>
    <w:uiPriority w:val="99"/>
    <w:rsid w:val="006E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TotalTime>
  <Pages>10</Pages>
  <Words>5549</Words>
  <Characters>31631</Characters>
  <Application>Microsoft Office Word</Application>
  <DocSecurity>0</DocSecurity>
  <Lines>263</Lines>
  <Paragraphs>74</Paragraphs>
  <ScaleCrop>false</ScaleCrop>
  <Company/>
  <LinksUpToDate>false</LinksUpToDate>
  <CharactersWithSpaces>37106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Viktor Križo</cp:lastModifiedBy>
  <cp:revision>197</cp:revision>
  <dcterms:created xsi:type="dcterms:W3CDTF">2026-07-03T21:27:00Z</dcterms:created>
  <dcterms:modified xsi:type="dcterms:W3CDTF">2026-07-09T07:28:00Z</dcterms:modified>
</cp:coreProperties>
</file>